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422E" w:rsidRPr="00367C86" w:rsidRDefault="00687EFF" w:rsidP="00367C86">
      <w:pPr>
        <w:pStyle w:val="Titre1"/>
        <w:shd w:val="clear" w:color="auto" w:fill="FFFFFF"/>
        <w:ind w:left="0" w:firstLine="0"/>
        <w:jc w:val="center"/>
        <w:textAlignment w:val="baseline"/>
        <w:rPr>
          <w:rFonts w:ascii="Arial" w:hAnsi="Arial" w:cs="Arial"/>
          <w:color w:val="auto"/>
          <w:sz w:val="20"/>
          <w:szCs w:val="20"/>
        </w:rPr>
      </w:pPr>
      <w:r>
        <w:rPr>
          <w:rFonts w:ascii="Arial" w:hAnsi="Arial" w:cs="Arial"/>
          <w:color w:val="auto"/>
          <w:sz w:val="20"/>
          <w:szCs w:val="20"/>
        </w:rPr>
        <w:t>UPEC OSU-EFLUVE, Faculté de Santé, Faculté des Sciences et T</w:t>
      </w:r>
      <w:r w:rsidR="001B422E" w:rsidRPr="00367C86">
        <w:rPr>
          <w:rFonts w:ascii="Arial" w:hAnsi="Arial" w:cs="Arial"/>
          <w:color w:val="auto"/>
          <w:sz w:val="20"/>
          <w:szCs w:val="20"/>
        </w:rPr>
        <w:t>echnologie</w:t>
      </w:r>
      <w:r>
        <w:rPr>
          <w:rFonts w:ascii="Arial" w:hAnsi="Arial" w:cs="Arial"/>
          <w:color w:val="auto"/>
          <w:sz w:val="20"/>
          <w:szCs w:val="20"/>
        </w:rPr>
        <w:t>s</w:t>
      </w:r>
      <w:r w:rsidR="001B422E" w:rsidRPr="00367C86">
        <w:rPr>
          <w:rFonts w:ascii="Arial" w:hAnsi="Arial" w:cs="Arial"/>
          <w:color w:val="auto"/>
          <w:sz w:val="20"/>
          <w:szCs w:val="20"/>
        </w:rPr>
        <w:t xml:space="preserve"> </w:t>
      </w:r>
      <w:r>
        <w:rPr>
          <w:rFonts w:ascii="Arial" w:hAnsi="Arial" w:cs="Arial"/>
          <w:color w:val="auto"/>
          <w:sz w:val="20"/>
          <w:szCs w:val="20"/>
        </w:rPr>
        <w:t>Université de Paris Cité</w:t>
      </w:r>
    </w:p>
    <w:p w:rsidR="001B422E" w:rsidRPr="00367C86" w:rsidRDefault="001B422E" w:rsidP="00367C86">
      <w:pPr>
        <w:pStyle w:val="Titre1"/>
        <w:shd w:val="clear" w:color="auto" w:fill="FFFFFF"/>
        <w:ind w:left="0" w:firstLine="0"/>
        <w:jc w:val="center"/>
        <w:textAlignment w:val="baseline"/>
        <w:rPr>
          <w:rFonts w:ascii="Arial" w:hAnsi="Arial" w:cs="Arial"/>
          <w:color w:val="auto"/>
          <w:sz w:val="20"/>
          <w:szCs w:val="20"/>
        </w:rPr>
      </w:pPr>
      <w:r w:rsidRPr="00367C86">
        <w:rPr>
          <w:rFonts w:ascii="Arial" w:hAnsi="Arial" w:cs="Arial"/>
          <w:color w:val="auto"/>
          <w:sz w:val="20"/>
          <w:szCs w:val="20"/>
        </w:rPr>
        <w:t xml:space="preserve">DIU SANTE-ENVIRONNEMENT </w:t>
      </w:r>
    </w:p>
    <w:p w:rsidR="001B422E" w:rsidRPr="00367C86" w:rsidRDefault="001B422E" w:rsidP="00367C86">
      <w:pPr>
        <w:pStyle w:val="Titre1"/>
        <w:shd w:val="clear" w:color="auto" w:fill="FFFFFF"/>
        <w:ind w:left="0" w:firstLine="0"/>
        <w:jc w:val="center"/>
        <w:textAlignment w:val="baseline"/>
        <w:rPr>
          <w:rFonts w:ascii="Arial" w:hAnsi="Arial" w:cs="Arial"/>
          <w:b w:val="0"/>
          <w:color w:val="auto"/>
          <w:sz w:val="20"/>
          <w:szCs w:val="20"/>
          <w:u w:val="single"/>
        </w:rPr>
      </w:pPr>
      <w:r w:rsidRPr="00367C86">
        <w:rPr>
          <w:rFonts w:ascii="Arial" w:hAnsi="Arial" w:cs="Arial"/>
          <w:color w:val="auto"/>
          <w:sz w:val="20"/>
          <w:szCs w:val="20"/>
        </w:rPr>
        <w:t>Projet tutoré (sous la direction de M. Gilles FORET)</w:t>
      </w:r>
    </w:p>
    <w:p w:rsidR="00800FC7" w:rsidRPr="00367C86" w:rsidRDefault="0019715A" w:rsidP="00367C86">
      <w:pPr>
        <w:pStyle w:val="Titre1"/>
        <w:shd w:val="clear" w:color="auto" w:fill="FFFFFF"/>
        <w:ind w:left="0" w:firstLine="0"/>
        <w:jc w:val="center"/>
        <w:textAlignment w:val="baseline"/>
        <w:rPr>
          <w:rFonts w:ascii="Arial" w:hAnsi="Arial" w:cs="Arial"/>
          <w:b w:val="0"/>
          <w:color w:val="auto"/>
          <w:sz w:val="20"/>
          <w:szCs w:val="20"/>
          <w:u w:val="single"/>
        </w:rPr>
      </w:pPr>
      <w:r w:rsidRPr="00367C86">
        <w:rPr>
          <w:rFonts w:ascii="Arial" w:hAnsi="Arial" w:cs="Arial"/>
          <w:b w:val="0"/>
          <w:color w:val="auto"/>
          <w:sz w:val="20"/>
          <w:szCs w:val="20"/>
          <w:u w:val="single"/>
        </w:rPr>
        <w:t>Radiofréquences</w:t>
      </w:r>
      <w:r w:rsidR="001E16A8" w:rsidRPr="00367C86">
        <w:rPr>
          <w:rFonts w:ascii="Arial" w:hAnsi="Arial" w:cs="Arial"/>
          <w:b w:val="0"/>
          <w:color w:val="auto"/>
          <w:sz w:val="20"/>
          <w:szCs w:val="20"/>
          <w:u w:val="single"/>
        </w:rPr>
        <w:t xml:space="preserve"> de</w:t>
      </w:r>
      <w:r w:rsidR="006D400E" w:rsidRPr="00367C86">
        <w:rPr>
          <w:rFonts w:ascii="Arial" w:hAnsi="Arial" w:cs="Arial"/>
          <w:b w:val="0"/>
          <w:color w:val="auto"/>
          <w:sz w:val="20"/>
          <w:szCs w:val="20"/>
          <w:u w:val="single"/>
        </w:rPr>
        <w:t xml:space="preserve">s technologies </w:t>
      </w:r>
      <w:r w:rsidR="001E16A8" w:rsidRPr="00367C86">
        <w:rPr>
          <w:rFonts w:ascii="Arial" w:hAnsi="Arial" w:cs="Arial"/>
          <w:b w:val="0"/>
          <w:color w:val="auto"/>
          <w:sz w:val="20"/>
          <w:szCs w:val="20"/>
          <w:u w:val="single"/>
        </w:rPr>
        <w:t>sans fil</w:t>
      </w:r>
      <w:r w:rsidR="00665CCB" w:rsidRPr="00367C86">
        <w:rPr>
          <w:rFonts w:ascii="Arial" w:hAnsi="Arial" w:cs="Arial"/>
          <w:b w:val="0"/>
          <w:color w:val="auto"/>
          <w:sz w:val="20"/>
          <w:szCs w:val="20"/>
          <w:u w:val="single"/>
        </w:rPr>
        <w:t>, un risque scélérat ?</w:t>
      </w:r>
    </w:p>
    <w:p w:rsidR="0019715A" w:rsidRPr="00367C86" w:rsidRDefault="0019715A" w:rsidP="00367C86">
      <w:pPr>
        <w:rPr>
          <w:rFonts w:ascii="Arial" w:hAnsi="Arial" w:cs="Arial"/>
          <w:sz w:val="20"/>
          <w:szCs w:val="20"/>
        </w:rPr>
      </w:pPr>
    </w:p>
    <w:p w:rsidR="00F86159" w:rsidRPr="00367C86" w:rsidRDefault="00F86159" w:rsidP="00367C86">
      <w:pPr>
        <w:rPr>
          <w:rFonts w:ascii="Arial" w:hAnsi="Arial" w:cs="Arial"/>
          <w:sz w:val="20"/>
          <w:szCs w:val="20"/>
        </w:rPr>
      </w:pPr>
    </w:p>
    <w:p w:rsidR="00914980" w:rsidRPr="00367C86" w:rsidRDefault="00914980" w:rsidP="00367C86">
      <w:pPr>
        <w:pStyle w:val="Notedebasdepage"/>
        <w:ind w:left="0" w:firstLine="0"/>
        <w:rPr>
          <w:rFonts w:ascii="Arial" w:hAnsi="Arial" w:cs="Arial"/>
          <w:i/>
        </w:rPr>
      </w:pPr>
      <w:r w:rsidRPr="00367C86">
        <w:rPr>
          <w:rFonts w:ascii="Arial" w:hAnsi="Arial" w:cs="Arial"/>
          <w:i/>
        </w:rPr>
        <w:t>« En bref, l’association que nous observons peut être une nouveauté pour la science ou la médecine et nous ne devons pas la rejeter à la légère comme si elle était trop étrange. Comme Sherlock Holmes l’a conseillé au Dr Watson, « une fois que vous avez éliminé l’impossible, ce qui reste, aussi improbable soit-il, doit être la vérité »</w:t>
      </w:r>
    </w:p>
    <w:p w:rsidR="0019715A" w:rsidRPr="00367C86" w:rsidRDefault="0019715A" w:rsidP="00367C86">
      <w:pPr>
        <w:pStyle w:val="Notedebasdepage"/>
        <w:ind w:left="0" w:firstLine="0"/>
        <w:jc w:val="right"/>
        <w:rPr>
          <w:rFonts w:ascii="Arial" w:hAnsi="Arial" w:cs="Arial"/>
          <w:i/>
        </w:rPr>
      </w:pPr>
      <w:r w:rsidRPr="00367C86">
        <w:rPr>
          <w:rFonts w:ascii="Arial" w:hAnsi="Arial" w:cs="Arial"/>
          <w:i/>
        </w:rPr>
        <w:t>Austin Bradford Hill</w:t>
      </w:r>
    </w:p>
    <w:p w:rsidR="0019715A" w:rsidRPr="00367C86" w:rsidRDefault="0019715A" w:rsidP="00367C86">
      <w:pPr>
        <w:pStyle w:val="Notedebasdepage"/>
        <w:rPr>
          <w:rFonts w:ascii="Arial" w:hAnsi="Arial" w:cs="Arial"/>
        </w:rPr>
      </w:pPr>
    </w:p>
    <w:p w:rsidR="0019715A" w:rsidRPr="00367C86" w:rsidRDefault="00914980" w:rsidP="00367C86">
      <w:pPr>
        <w:pStyle w:val="Notedebasdepage"/>
        <w:jc w:val="right"/>
        <w:rPr>
          <w:rFonts w:ascii="Arial" w:hAnsi="Arial" w:cs="Arial"/>
        </w:rPr>
      </w:pPr>
      <w:r w:rsidRPr="00367C86">
        <w:rPr>
          <w:rFonts w:ascii="Arial" w:hAnsi="Arial" w:cs="Arial"/>
          <w:i/>
        </w:rPr>
        <w:t>«</w:t>
      </w:r>
      <w:r w:rsidRPr="00367C86">
        <w:rPr>
          <w:rFonts w:ascii="Arial" w:hAnsi="Arial" w:cs="Arial"/>
        </w:rPr>
        <w:t> </w:t>
      </w:r>
      <w:r w:rsidRPr="00367C86">
        <w:rPr>
          <w:rFonts w:ascii="Arial" w:hAnsi="Arial" w:cs="Arial"/>
          <w:i/>
        </w:rPr>
        <w:t>Le progrès et la catastrophe sont l’avers et le revers d’une même médaille</w:t>
      </w:r>
      <w:r w:rsidRPr="00367C86">
        <w:rPr>
          <w:rFonts w:ascii="Arial" w:hAnsi="Arial" w:cs="Arial"/>
        </w:rPr>
        <w:t> </w:t>
      </w:r>
      <w:r w:rsidRPr="00367C86">
        <w:rPr>
          <w:rFonts w:ascii="Arial" w:hAnsi="Arial" w:cs="Arial"/>
          <w:i/>
        </w:rPr>
        <w:t>»</w:t>
      </w:r>
    </w:p>
    <w:p w:rsidR="00914980" w:rsidRPr="00367C86" w:rsidRDefault="00914980" w:rsidP="00367C86">
      <w:pPr>
        <w:pStyle w:val="Notedebasdepage"/>
        <w:jc w:val="right"/>
        <w:rPr>
          <w:rFonts w:ascii="Arial" w:hAnsi="Arial" w:cs="Arial"/>
        </w:rPr>
      </w:pPr>
      <w:r w:rsidRPr="00367C86">
        <w:rPr>
          <w:rFonts w:ascii="Arial" w:hAnsi="Arial" w:cs="Arial"/>
        </w:rPr>
        <w:t>Hannah Arendt</w:t>
      </w:r>
    </w:p>
    <w:p w:rsidR="00B95A26" w:rsidRPr="00367C86" w:rsidRDefault="00B95A26" w:rsidP="00367C86">
      <w:pPr>
        <w:pStyle w:val="Notedebasdepage"/>
        <w:jc w:val="right"/>
        <w:rPr>
          <w:rFonts w:ascii="Arial" w:hAnsi="Arial" w:cs="Arial"/>
        </w:rPr>
      </w:pPr>
    </w:p>
    <w:p w:rsidR="00B95A26" w:rsidRPr="00367C86" w:rsidRDefault="00B95A26" w:rsidP="00367C86">
      <w:pPr>
        <w:pStyle w:val="Notedebasdepage"/>
        <w:jc w:val="right"/>
        <w:rPr>
          <w:rFonts w:ascii="Arial" w:hAnsi="Arial" w:cs="Arial"/>
          <w:i/>
        </w:rPr>
      </w:pPr>
      <w:r w:rsidRPr="00367C86">
        <w:rPr>
          <w:rFonts w:ascii="Arial" w:hAnsi="Arial" w:cs="Arial"/>
          <w:i/>
        </w:rPr>
        <w:t>«  Le corps n’en finit pas de livrer ses secrets »</w:t>
      </w:r>
      <w:r w:rsidRPr="00367C86">
        <w:rPr>
          <w:rStyle w:val="Appelnotedebasdep"/>
          <w:rFonts w:ascii="Arial" w:hAnsi="Arial" w:cs="Arial"/>
          <w:i/>
        </w:rPr>
        <w:footnoteReference w:id="2"/>
      </w:r>
      <w:r w:rsidRPr="00367C86">
        <w:rPr>
          <w:rFonts w:ascii="Arial" w:hAnsi="Arial" w:cs="Arial"/>
          <w:i/>
        </w:rPr>
        <w:t> </w:t>
      </w:r>
    </w:p>
    <w:p w:rsidR="00F86159" w:rsidRPr="00367C86" w:rsidRDefault="00F86159" w:rsidP="00367C86">
      <w:pPr>
        <w:ind w:left="0" w:firstLine="0"/>
        <w:rPr>
          <w:rFonts w:ascii="Arial" w:hAnsi="Arial" w:cs="Arial"/>
          <w:sz w:val="20"/>
          <w:szCs w:val="20"/>
        </w:rPr>
      </w:pPr>
    </w:p>
    <w:p w:rsidR="00855260" w:rsidRPr="00367C86" w:rsidRDefault="00855260" w:rsidP="00367C86">
      <w:pPr>
        <w:ind w:left="0" w:firstLine="0"/>
        <w:rPr>
          <w:rFonts w:ascii="Arial" w:hAnsi="Arial" w:cs="Arial"/>
          <w:sz w:val="20"/>
          <w:szCs w:val="20"/>
        </w:rPr>
      </w:pPr>
    </w:p>
    <w:p w:rsidR="00855260" w:rsidRPr="00367C86" w:rsidRDefault="00855260" w:rsidP="00367C86">
      <w:pPr>
        <w:ind w:left="0" w:firstLine="0"/>
        <w:rPr>
          <w:rFonts w:ascii="Arial" w:hAnsi="Arial" w:cs="Arial"/>
          <w:sz w:val="20"/>
          <w:szCs w:val="20"/>
        </w:rPr>
      </w:pPr>
    </w:p>
    <w:p w:rsidR="00855260" w:rsidRPr="00367C86" w:rsidRDefault="00855260" w:rsidP="00367C86">
      <w:pPr>
        <w:ind w:left="0" w:firstLine="0"/>
        <w:rPr>
          <w:rFonts w:ascii="Arial" w:hAnsi="Arial" w:cs="Arial"/>
          <w:sz w:val="20"/>
          <w:szCs w:val="20"/>
        </w:rPr>
      </w:pPr>
      <w:r w:rsidRPr="00367C86">
        <w:rPr>
          <w:rFonts w:ascii="Arial" w:hAnsi="Arial" w:cs="Arial"/>
          <w:sz w:val="20"/>
          <w:szCs w:val="20"/>
        </w:rPr>
        <w:t>Dans une étude sociologique</w:t>
      </w:r>
      <w:r w:rsidRPr="00367C86">
        <w:rPr>
          <w:rStyle w:val="Appelnotedebasdep"/>
          <w:rFonts w:ascii="Arial" w:hAnsi="Arial" w:cs="Arial"/>
          <w:sz w:val="20"/>
          <w:szCs w:val="20"/>
        </w:rPr>
        <w:footnoteReference w:id="3"/>
      </w:r>
      <w:r w:rsidR="00122452" w:rsidRPr="00367C86">
        <w:rPr>
          <w:rFonts w:ascii="Arial" w:hAnsi="Arial" w:cs="Arial"/>
          <w:sz w:val="20"/>
          <w:szCs w:val="20"/>
        </w:rPr>
        <w:t xml:space="preserve"> sur la non </w:t>
      </w:r>
      <w:r w:rsidRPr="00367C86">
        <w:rPr>
          <w:rFonts w:ascii="Arial" w:hAnsi="Arial" w:cs="Arial"/>
          <w:sz w:val="20"/>
          <w:szCs w:val="20"/>
        </w:rPr>
        <w:t>prise en compte de l’alerte lors de la tempête de 1999, le sociologue François Dedieu avait ainsi défini ce qu’il avait nommé « risque scélérat » : « Il s’agit d’un danger annoncé comme tel mais qui est ignoré parce qu’il semble familier ». Dans sa conclusion, il indiquait qu’« À l’instar des entreprises scélérates étudiées par Erving Goffman (1973), le risque scélérat se définit, d’une manière générale, comme un phénomène menaçant dont l’annonce passe inaperçue, parce qu’il prend une apparence normale. »</w:t>
      </w:r>
    </w:p>
    <w:p w:rsidR="00855260" w:rsidRPr="00367C86" w:rsidRDefault="00855260" w:rsidP="00367C86">
      <w:pPr>
        <w:ind w:left="0" w:firstLine="0"/>
        <w:rPr>
          <w:rFonts w:ascii="Arial" w:hAnsi="Arial" w:cs="Arial"/>
          <w:sz w:val="20"/>
          <w:szCs w:val="20"/>
        </w:rPr>
      </w:pPr>
    </w:p>
    <w:p w:rsidR="00855260" w:rsidRPr="00367C86" w:rsidRDefault="00A57AFA" w:rsidP="00367C86">
      <w:pPr>
        <w:ind w:left="0" w:firstLine="0"/>
        <w:rPr>
          <w:rFonts w:ascii="Arial" w:hAnsi="Arial" w:cs="Arial"/>
          <w:sz w:val="20"/>
          <w:szCs w:val="20"/>
        </w:rPr>
      </w:pPr>
      <w:r w:rsidRPr="00367C86">
        <w:rPr>
          <w:rFonts w:ascii="Arial" w:hAnsi="Arial" w:cs="Arial"/>
          <w:sz w:val="20"/>
          <w:szCs w:val="20"/>
        </w:rPr>
        <w:t>En l’espace de quarante années, l</w:t>
      </w:r>
      <w:r w:rsidR="00855260" w:rsidRPr="00367C86">
        <w:rPr>
          <w:rFonts w:ascii="Arial" w:hAnsi="Arial" w:cs="Arial"/>
          <w:sz w:val="20"/>
          <w:szCs w:val="20"/>
        </w:rPr>
        <w:t>es technologies basées sur l’usage des radiofréquences se sont installé</w:t>
      </w:r>
      <w:r w:rsidRPr="00367C86">
        <w:rPr>
          <w:rFonts w:ascii="Arial" w:hAnsi="Arial" w:cs="Arial"/>
          <w:sz w:val="20"/>
          <w:szCs w:val="20"/>
        </w:rPr>
        <w:t xml:space="preserve">es dans nos vies : de façon progressive, ne touchant au départ qu’une partie de la population (adultes « privilégiés » </w:t>
      </w:r>
      <w:r w:rsidR="00B53B5E" w:rsidRPr="00367C86">
        <w:rPr>
          <w:rFonts w:ascii="Arial" w:hAnsi="Arial" w:cs="Arial"/>
          <w:sz w:val="20"/>
          <w:szCs w:val="20"/>
        </w:rPr>
        <w:t>en faisant un usage délibéré</w:t>
      </w:r>
      <w:r w:rsidR="006D400E" w:rsidRPr="00367C86">
        <w:rPr>
          <w:rFonts w:ascii="Arial" w:hAnsi="Arial" w:cs="Arial"/>
          <w:sz w:val="20"/>
          <w:szCs w:val="20"/>
        </w:rPr>
        <w:t xml:space="preserve"> ou habitants</w:t>
      </w:r>
      <w:r w:rsidRPr="00367C86">
        <w:rPr>
          <w:rFonts w:ascii="Arial" w:hAnsi="Arial" w:cs="Arial"/>
          <w:sz w:val="20"/>
          <w:szCs w:val="20"/>
        </w:rPr>
        <w:t xml:space="preserve"> </w:t>
      </w:r>
      <w:r w:rsidR="006D400E" w:rsidRPr="00367C86">
        <w:rPr>
          <w:rFonts w:ascii="Arial" w:hAnsi="Arial" w:cs="Arial"/>
          <w:sz w:val="20"/>
          <w:szCs w:val="20"/>
        </w:rPr>
        <w:t>localement exposé</w:t>
      </w:r>
      <w:r w:rsidRPr="00367C86">
        <w:rPr>
          <w:rFonts w:ascii="Arial" w:hAnsi="Arial" w:cs="Arial"/>
          <w:sz w:val="20"/>
          <w:szCs w:val="20"/>
        </w:rPr>
        <w:t xml:space="preserve">s à leur insu), </w:t>
      </w:r>
      <w:r w:rsidR="00AE2FE2" w:rsidRPr="00367C86">
        <w:rPr>
          <w:rFonts w:ascii="Arial" w:hAnsi="Arial" w:cs="Arial"/>
          <w:sz w:val="20"/>
          <w:szCs w:val="20"/>
        </w:rPr>
        <w:t xml:space="preserve">avec </w:t>
      </w:r>
      <w:r w:rsidR="001F0AB3" w:rsidRPr="00367C86">
        <w:rPr>
          <w:rFonts w:ascii="Arial" w:hAnsi="Arial" w:cs="Arial"/>
          <w:sz w:val="20"/>
          <w:szCs w:val="20"/>
        </w:rPr>
        <w:t xml:space="preserve">à leur début </w:t>
      </w:r>
      <w:r w:rsidR="00AE2FE2" w:rsidRPr="00367C86">
        <w:rPr>
          <w:rFonts w:ascii="Arial" w:hAnsi="Arial" w:cs="Arial"/>
          <w:sz w:val="20"/>
          <w:szCs w:val="20"/>
        </w:rPr>
        <w:t>un signal continu</w:t>
      </w:r>
      <w:r w:rsidR="00B53B5E" w:rsidRPr="00367C86">
        <w:rPr>
          <w:rFonts w:ascii="Arial" w:hAnsi="Arial" w:cs="Arial"/>
          <w:sz w:val="20"/>
          <w:szCs w:val="20"/>
        </w:rPr>
        <w:t xml:space="preserve"> (pour ce qui est des télécommunications)</w:t>
      </w:r>
      <w:r w:rsidRPr="00367C86">
        <w:rPr>
          <w:rFonts w:ascii="Arial" w:hAnsi="Arial" w:cs="Arial"/>
          <w:sz w:val="20"/>
          <w:szCs w:val="20"/>
        </w:rPr>
        <w:t xml:space="preserve">, puis changeant de nature et devenant numériques, inondant les marchés de consommation courante, </w:t>
      </w:r>
      <w:r w:rsidR="00B53B5E" w:rsidRPr="00367C86">
        <w:rPr>
          <w:rFonts w:ascii="Arial" w:hAnsi="Arial" w:cs="Arial"/>
          <w:sz w:val="20"/>
          <w:szCs w:val="20"/>
        </w:rPr>
        <w:t xml:space="preserve">touchant des populations de plus en plus jeunes, se répandant </w:t>
      </w:r>
      <w:r w:rsidRPr="00367C86">
        <w:rPr>
          <w:rFonts w:ascii="Arial" w:hAnsi="Arial" w:cs="Arial"/>
          <w:sz w:val="20"/>
          <w:szCs w:val="20"/>
        </w:rPr>
        <w:t>de plus en plus vite,</w:t>
      </w:r>
      <w:r w:rsidR="00B53B5E" w:rsidRPr="00367C86">
        <w:rPr>
          <w:rFonts w:ascii="Arial" w:hAnsi="Arial" w:cs="Arial"/>
          <w:sz w:val="20"/>
          <w:szCs w:val="20"/>
        </w:rPr>
        <w:t xml:space="preserve"> </w:t>
      </w:r>
      <w:r w:rsidRPr="00367C86">
        <w:rPr>
          <w:rFonts w:ascii="Arial" w:hAnsi="Arial" w:cs="Arial"/>
          <w:sz w:val="20"/>
          <w:szCs w:val="20"/>
        </w:rPr>
        <w:t>exposant de plus en plus tout le monde</w:t>
      </w:r>
      <w:r w:rsidR="00B53B5E" w:rsidRPr="00367C86">
        <w:rPr>
          <w:rFonts w:ascii="Arial" w:hAnsi="Arial" w:cs="Arial"/>
          <w:sz w:val="20"/>
          <w:szCs w:val="20"/>
        </w:rPr>
        <w:t>, pa</w:t>
      </w:r>
      <w:r w:rsidRPr="00367C86">
        <w:rPr>
          <w:rFonts w:ascii="Arial" w:hAnsi="Arial" w:cs="Arial"/>
          <w:sz w:val="20"/>
          <w:szCs w:val="20"/>
        </w:rPr>
        <w:t>rtout, tout le temps</w:t>
      </w:r>
      <w:r w:rsidR="00B53B5E" w:rsidRPr="00367C86">
        <w:rPr>
          <w:rFonts w:ascii="Arial" w:hAnsi="Arial" w:cs="Arial"/>
          <w:sz w:val="20"/>
          <w:szCs w:val="20"/>
        </w:rPr>
        <w:t xml:space="preserve"> tant et si bien qu’est apparu un néologisme : electrosmog</w:t>
      </w:r>
      <w:r w:rsidR="00B53B5E" w:rsidRPr="00367C86">
        <w:rPr>
          <w:rStyle w:val="Appelnotedebasdep"/>
          <w:rFonts w:ascii="Arial" w:hAnsi="Arial" w:cs="Arial"/>
          <w:sz w:val="20"/>
          <w:szCs w:val="20"/>
        </w:rPr>
        <w:footnoteReference w:id="4"/>
      </w:r>
      <w:r w:rsidRPr="00367C86">
        <w:rPr>
          <w:rFonts w:ascii="Arial" w:hAnsi="Arial" w:cs="Arial"/>
          <w:sz w:val="20"/>
          <w:szCs w:val="20"/>
        </w:rPr>
        <w:t>. Du résea</w:t>
      </w:r>
      <w:r w:rsidR="00AE2FE2" w:rsidRPr="00367C86">
        <w:rPr>
          <w:rFonts w:ascii="Arial" w:hAnsi="Arial" w:cs="Arial"/>
          <w:sz w:val="20"/>
          <w:szCs w:val="20"/>
        </w:rPr>
        <w:t>u Radiocom 2000 analogique</w:t>
      </w:r>
      <w:r w:rsidRPr="00367C86">
        <w:rPr>
          <w:rFonts w:ascii="Arial" w:hAnsi="Arial" w:cs="Arial"/>
          <w:sz w:val="20"/>
          <w:szCs w:val="20"/>
        </w:rPr>
        <w:t xml:space="preserve"> à </w:t>
      </w:r>
      <w:r w:rsidR="00122452" w:rsidRPr="00367C86">
        <w:rPr>
          <w:rFonts w:ascii="Arial" w:hAnsi="Arial" w:cs="Arial"/>
          <w:sz w:val="20"/>
          <w:szCs w:val="20"/>
        </w:rPr>
        <w:t xml:space="preserve">l’institutionnalisation de l’usage des radiofréquences en passant par </w:t>
      </w:r>
      <w:r w:rsidRPr="00367C86">
        <w:rPr>
          <w:rFonts w:ascii="Arial" w:hAnsi="Arial" w:cs="Arial"/>
          <w:sz w:val="20"/>
          <w:szCs w:val="20"/>
        </w:rPr>
        <w:t xml:space="preserve">la montre </w:t>
      </w:r>
      <w:r w:rsidR="00122452" w:rsidRPr="00367C86">
        <w:rPr>
          <w:rFonts w:ascii="Arial" w:hAnsi="Arial" w:cs="Arial"/>
          <w:sz w:val="20"/>
          <w:szCs w:val="20"/>
        </w:rPr>
        <w:t xml:space="preserve">ou </w:t>
      </w:r>
      <w:r w:rsidR="00B53B5E" w:rsidRPr="00367C86">
        <w:rPr>
          <w:rFonts w:ascii="Arial" w:hAnsi="Arial" w:cs="Arial"/>
          <w:sz w:val="20"/>
          <w:szCs w:val="20"/>
        </w:rPr>
        <w:t xml:space="preserve">la couche </w:t>
      </w:r>
      <w:r w:rsidRPr="00367C86">
        <w:rPr>
          <w:rFonts w:ascii="Arial" w:hAnsi="Arial" w:cs="Arial"/>
          <w:sz w:val="20"/>
          <w:szCs w:val="20"/>
        </w:rPr>
        <w:t>c</w:t>
      </w:r>
      <w:r w:rsidR="008C6144" w:rsidRPr="00367C86">
        <w:rPr>
          <w:rFonts w:ascii="Arial" w:hAnsi="Arial" w:cs="Arial"/>
          <w:sz w:val="20"/>
          <w:szCs w:val="20"/>
        </w:rPr>
        <w:t xml:space="preserve">onnectée, </w:t>
      </w:r>
      <w:r w:rsidRPr="00367C86">
        <w:rPr>
          <w:rFonts w:ascii="Arial" w:hAnsi="Arial" w:cs="Arial"/>
          <w:sz w:val="20"/>
          <w:szCs w:val="20"/>
        </w:rPr>
        <w:t>un enchaînement d’innovation</w:t>
      </w:r>
      <w:r w:rsidR="00B53B5E" w:rsidRPr="00367C86">
        <w:rPr>
          <w:rFonts w:ascii="Arial" w:hAnsi="Arial" w:cs="Arial"/>
          <w:sz w:val="20"/>
          <w:szCs w:val="20"/>
        </w:rPr>
        <w:t>s</w:t>
      </w:r>
      <w:r w:rsidRPr="00367C86">
        <w:rPr>
          <w:rFonts w:ascii="Arial" w:hAnsi="Arial" w:cs="Arial"/>
          <w:sz w:val="20"/>
          <w:szCs w:val="20"/>
        </w:rPr>
        <w:t xml:space="preserve"> technologique</w:t>
      </w:r>
      <w:r w:rsidR="00B53B5E" w:rsidRPr="00367C86">
        <w:rPr>
          <w:rFonts w:ascii="Arial" w:hAnsi="Arial" w:cs="Arial"/>
          <w:sz w:val="20"/>
          <w:szCs w:val="20"/>
        </w:rPr>
        <w:t>s</w:t>
      </w:r>
      <w:r w:rsidR="008C6144" w:rsidRPr="00367C86">
        <w:rPr>
          <w:rFonts w:ascii="Arial" w:hAnsi="Arial" w:cs="Arial"/>
          <w:sz w:val="20"/>
          <w:szCs w:val="20"/>
        </w:rPr>
        <w:t xml:space="preserve"> créant une juxtaposition d’expositions</w:t>
      </w:r>
      <w:r w:rsidR="00577327" w:rsidRPr="00367C86">
        <w:rPr>
          <w:rFonts w:ascii="Arial" w:hAnsi="Arial" w:cs="Arial"/>
          <w:sz w:val="20"/>
          <w:szCs w:val="20"/>
        </w:rPr>
        <w:t xml:space="preserve"> (</w:t>
      </w:r>
      <w:r w:rsidR="006D400E" w:rsidRPr="00367C86">
        <w:rPr>
          <w:rFonts w:ascii="Arial" w:hAnsi="Arial" w:cs="Arial"/>
          <w:sz w:val="20"/>
          <w:szCs w:val="20"/>
        </w:rPr>
        <w:t xml:space="preserve">aux </w:t>
      </w:r>
      <w:r w:rsidR="008C6144" w:rsidRPr="00367C86">
        <w:rPr>
          <w:rFonts w:ascii="Arial" w:hAnsi="Arial" w:cs="Arial"/>
          <w:sz w:val="20"/>
          <w:szCs w:val="20"/>
        </w:rPr>
        <w:t>caractéristiques diverses</w:t>
      </w:r>
      <w:r w:rsidR="00577327" w:rsidRPr="00367C86">
        <w:rPr>
          <w:rFonts w:ascii="Arial" w:hAnsi="Arial" w:cs="Arial"/>
          <w:sz w:val="20"/>
          <w:szCs w:val="20"/>
        </w:rPr>
        <w:t>)</w:t>
      </w:r>
      <w:r w:rsidR="008C6144" w:rsidRPr="00367C86">
        <w:rPr>
          <w:rFonts w:ascii="Arial" w:hAnsi="Arial" w:cs="Arial"/>
          <w:sz w:val="20"/>
          <w:szCs w:val="20"/>
        </w:rPr>
        <w:t xml:space="preserve"> de la vie sur terre a modifié notre environnement : </w:t>
      </w:r>
      <w:r w:rsidR="001F0AB3" w:rsidRPr="00367C86">
        <w:rPr>
          <w:rFonts w:ascii="Arial" w:hAnsi="Arial" w:cs="Arial"/>
          <w:sz w:val="20"/>
          <w:szCs w:val="20"/>
        </w:rPr>
        <w:t>si la question</w:t>
      </w:r>
      <w:r w:rsidR="00122452" w:rsidRPr="00367C86">
        <w:rPr>
          <w:rFonts w:ascii="Arial" w:hAnsi="Arial" w:cs="Arial"/>
          <w:sz w:val="20"/>
          <w:szCs w:val="20"/>
        </w:rPr>
        <w:t xml:space="preserve"> de l’impact sociétal et psychocogniti</w:t>
      </w:r>
      <w:r w:rsidR="001F0AB3" w:rsidRPr="00367C86">
        <w:rPr>
          <w:rFonts w:ascii="Arial" w:hAnsi="Arial" w:cs="Arial"/>
          <w:sz w:val="20"/>
          <w:szCs w:val="20"/>
        </w:rPr>
        <w:t xml:space="preserve">f des </w:t>
      </w:r>
      <w:r w:rsidR="00F66F88" w:rsidRPr="00367C86">
        <w:rPr>
          <w:rFonts w:ascii="Arial" w:hAnsi="Arial" w:cs="Arial"/>
          <w:sz w:val="20"/>
          <w:szCs w:val="20"/>
        </w:rPr>
        <w:t>écrans et de la té</w:t>
      </w:r>
      <w:r w:rsidR="006D400E" w:rsidRPr="00367C86">
        <w:rPr>
          <w:rFonts w:ascii="Arial" w:hAnsi="Arial" w:cs="Arial"/>
          <w:sz w:val="20"/>
          <w:szCs w:val="20"/>
        </w:rPr>
        <w:t>lé</w:t>
      </w:r>
      <w:r w:rsidR="00F66F88" w:rsidRPr="00367C86">
        <w:rPr>
          <w:rFonts w:ascii="Arial" w:hAnsi="Arial" w:cs="Arial"/>
          <w:sz w:val="20"/>
          <w:szCs w:val="20"/>
        </w:rPr>
        <w:t>phonie mobile</w:t>
      </w:r>
      <w:r w:rsidR="006D55C1" w:rsidRPr="00367C86">
        <w:rPr>
          <w:rFonts w:ascii="Arial" w:hAnsi="Arial" w:cs="Arial"/>
          <w:sz w:val="20"/>
          <w:szCs w:val="20"/>
        </w:rPr>
        <w:t xml:space="preserve"> soulève des inquiétudes </w:t>
      </w:r>
      <w:r w:rsidR="00122452" w:rsidRPr="00367C86">
        <w:rPr>
          <w:rFonts w:ascii="Arial" w:hAnsi="Arial" w:cs="Arial"/>
          <w:sz w:val="20"/>
          <w:szCs w:val="20"/>
        </w:rPr>
        <w:t>croissant</w:t>
      </w:r>
      <w:r w:rsidR="006D55C1" w:rsidRPr="00367C86">
        <w:rPr>
          <w:rFonts w:ascii="Arial" w:hAnsi="Arial" w:cs="Arial"/>
          <w:sz w:val="20"/>
          <w:szCs w:val="20"/>
        </w:rPr>
        <w:t>es</w:t>
      </w:r>
      <w:r w:rsidR="00122452" w:rsidRPr="00367C86">
        <w:rPr>
          <w:rFonts w:ascii="Arial" w:hAnsi="Arial" w:cs="Arial"/>
          <w:sz w:val="20"/>
          <w:szCs w:val="20"/>
        </w:rPr>
        <w:t xml:space="preserve">, </w:t>
      </w:r>
      <w:r w:rsidR="008C6144" w:rsidRPr="00367C86">
        <w:rPr>
          <w:rFonts w:ascii="Arial" w:hAnsi="Arial" w:cs="Arial"/>
          <w:sz w:val="20"/>
          <w:szCs w:val="20"/>
        </w:rPr>
        <w:t xml:space="preserve">c’est </w:t>
      </w:r>
      <w:r w:rsidR="001F0AB3" w:rsidRPr="00367C86">
        <w:rPr>
          <w:rFonts w:ascii="Arial" w:hAnsi="Arial" w:cs="Arial"/>
          <w:sz w:val="20"/>
          <w:szCs w:val="20"/>
        </w:rPr>
        <w:t xml:space="preserve">l’état de la science au </w:t>
      </w:r>
      <w:r w:rsidR="00F36477" w:rsidRPr="00367C86">
        <w:rPr>
          <w:rFonts w:ascii="Arial" w:hAnsi="Arial" w:cs="Arial"/>
          <w:sz w:val="20"/>
          <w:szCs w:val="20"/>
        </w:rPr>
        <w:t xml:space="preserve">sujet </w:t>
      </w:r>
      <w:r w:rsidR="006D55C1" w:rsidRPr="00367C86">
        <w:rPr>
          <w:rFonts w:ascii="Arial" w:hAnsi="Arial" w:cs="Arial"/>
          <w:sz w:val="20"/>
          <w:szCs w:val="20"/>
        </w:rPr>
        <w:t>de l’</w:t>
      </w:r>
      <w:r w:rsidR="001F0AB3" w:rsidRPr="00367C86">
        <w:rPr>
          <w:rFonts w:ascii="Arial" w:hAnsi="Arial" w:cs="Arial"/>
          <w:sz w:val="20"/>
          <w:szCs w:val="20"/>
        </w:rPr>
        <w:t>impact</w:t>
      </w:r>
      <w:r w:rsidR="006D55C1" w:rsidRPr="00367C86">
        <w:rPr>
          <w:rFonts w:ascii="Arial" w:hAnsi="Arial" w:cs="Arial"/>
          <w:sz w:val="20"/>
          <w:szCs w:val="20"/>
        </w:rPr>
        <w:t xml:space="preserve"> des radiofréquences</w:t>
      </w:r>
      <w:r w:rsidR="001F0AB3" w:rsidRPr="00367C86">
        <w:rPr>
          <w:rFonts w:ascii="Arial" w:hAnsi="Arial" w:cs="Arial"/>
          <w:sz w:val="20"/>
          <w:szCs w:val="20"/>
        </w:rPr>
        <w:t xml:space="preserve"> sur la santé </w:t>
      </w:r>
      <w:r w:rsidR="00F36477" w:rsidRPr="00367C86">
        <w:rPr>
          <w:rFonts w:ascii="Arial" w:hAnsi="Arial" w:cs="Arial"/>
          <w:sz w:val="20"/>
          <w:szCs w:val="20"/>
        </w:rPr>
        <w:t>ainsi que son traitement politico-économico-médiatique</w:t>
      </w:r>
      <w:r w:rsidR="001F0AB3" w:rsidRPr="00367C86">
        <w:rPr>
          <w:rFonts w:ascii="Arial" w:hAnsi="Arial" w:cs="Arial"/>
          <w:sz w:val="20"/>
          <w:szCs w:val="20"/>
        </w:rPr>
        <w:t xml:space="preserve"> que nous allons tenter de synthétiser</w:t>
      </w:r>
      <w:r w:rsidR="008C6144" w:rsidRPr="00367C86">
        <w:rPr>
          <w:rFonts w:ascii="Arial" w:hAnsi="Arial" w:cs="Arial"/>
          <w:sz w:val="20"/>
          <w:szCs w:val="20"/>
        </w:rPr>
        <w:t xml:space="preserve"> dans ce mémoire.</w:t>
      </w:r>
      <w:r w:rsidR="00030826" w:rsidRPr="00367C86">
        <w:rPr>
          <w:rFonts w:ascii="Arial" w:hAnsi="Arial" w:cs="Arial"/>
          <w:sz w:val="20"/>
          <w:szCs w:val="20"/>
        </w:rPr>
        <w:t xml:space="preserve"> </w:t>
      </w:r>
    </w:p>
    <w:p w:rsidR="00030826" w:rsidRPr="00367C86" w:rsidRDefault="00030826" w:rsidP="00367C86">
      <w:pPr>
        <w:ind w:left="0" w:firstLine="0"/>
        <w:rPr>
          <w:rFonts w:ascii="Arial" w:hAnsi="Arial" w:cs="Arial"/>
          <w:sz w:val="20"/>
          <w:szCs w:val="20"/>
        </w:rPr>
      </w:pPr>
    </w:p>
    <w:p w:rsidR="00295429" w:rsidRPr="00367C86" w:rsidRDefault="00030826" w:rsidP="00367C86">
      <w:pPr>
        <w:ind w:left="0" w:firstLine="0"/>
        <w:rPr>
          <w:rFonts w:ascii="Arial" w:hAnsi="Arial" w:cs="Arial"/>
          <w:sz w:val="20"/>
          <w:szCs w:val="20"/>
        </w:rPr>
      </w:pPr>
      <w:r w:rsidRPr="00367C86">
        <w:rPr>
          <w:rFonts w:ascii="Arial" w:hAnsi="Arial" w:cs="Arial"/>
          <w:sz w:val="20"/>
          <w:szCs w:val="20"/>
        </w:rPr>
        <w:t>L</w:t>
      </w:r>
      <w:r w:rsidR="00E26414" w:rsidRPr="00367C86">
        <w:rPr>
          <w:rFonts w:ascii="Arial" w:hAnsi="Arial" w:cs="Arial"/>
          <w:sz w:val="20"/>
          <w:szCs w:val="20"/>
        </w:rPr>
        <w:t>’identification et la caractérisation d’un risque nécessitant l’identification d’un danger, l’établissement de relations dose-réponse et l’évaluation de l’exposition</w:t>
      </w:r>
      <w:r w:rsidR="00F66F88" w:rsidRPr="00367C86">
        <w:rPr>
          <w:rFonts w:ascii="Arial" w:hAnsi="Arial" w:cs="Arial"/>
          <w:sz w:val="20"/>
          <w:szCs w:val="20"/>
        </w:rPr>
        <w:t xml:space="preserve"> à cet éventuel danger</w:t>
      </w:r>
      <w:r w:rsidR="00E26414" w:rsidRPr="00367C86">
        <w:rPr>
          <w:rFonts w:ascii="Arial" w:hAnsi="Arial" w:cs="Arial"/>
          <w:sz w:val="20"/>
          <w:szCs w:val="20"/>
        </w:rPr>
        <w:t xml:space="preserve">, nous allons tout d’abord </w:t>
      </w:r>
      <w:r w:rsidR="00267661" w:rsidRPr="00367C86">
        <w:rPr>
          <w:rFonts w:ascii="Arial" w:hAnsi="Arial" w:cs="Arial"/>
          <w:sz w:val="20"/>
          <w:szCs w:val="20"/>
        </w:rPr>
        <w:t>devoir mettre à plat et clarifier quelques notions permettant de cadrer ce dont on parle quand il est question des radiofréquences émises par les technol</w:t>
      </w:r>
      <w:r w:rsidR="007764BB" w:rsidRPr="00367C86">
        <w:rPr>
          <w:rFonts w:ascii="Arial" w:hAnsi="Arial" w:cs="Arial"/>
          <w:sz w:val="20"/>
          <w:szCs w:val="20"/>
        </w:rPr>
        <w:t>ogies de communication sans fil ;</w:t>
      </w:r>
      <w:r w:rsidR="00267661" w:rsidRPr="00367C86">
        <w:rPr>
          <w:rFonts w:ascii="Arial" w:hAnsi="Arial" w:cs="Arial"/>
          <w:sz w:val="20"/>
          <w:szCs w:val="20"/>
        </w:rPr>
        <w:t xml:space="preserve"> puis</w:t>
      </w:r>
      <w:r w:rsidR="007764BB" w:rsidRPr="00367C86">
        <w:rPr>
          <w:rFonts w:ascii="Arial" w:hAnsi="Arial" w:cs="Arial"/>
          <w:sz w:val="20"/>
          <w:szCs w:val="20"/>
        </w:rPr>
        <w:t>,</w:t>
      </w:r>
      <w:r w:rsidR="00267661" w:rsidRPr="00367C86">
        <w:rPr>
          <w:rFonts w:ascii="Arial" w:hAnsi="Arial" w:cs="Arial"/>
          <w:sz w:val="20"/>
          <w:szCs w:val="20"/>
        </w:rPr>
        <w:t xml:space="preserve"> après </w:t>
      </w:r>
      <w:r w:rsidR="0017412B" w:rsidRPr="00367C86">
        <w:rPr>
          <w:rFonts w:ascii="Arial" w:hAnsi="Arial" w:cs="Arial"/>
          <w:sz w:val="20"/>
          <w:szCs w:val="20"/>
        </w:rPr>
        <w:t xml:space="preserve">avoir </w:t>
      </w:r>
      <w:r w:rsidR="00267661" w:rsidRPr="00367C86">
        <w:rPr>
          <w:rFonts w:ascii="Arial" w:hAnsi="Arial" w:cs="Arial"/>
          <w:sz w:val="20"/>
          <w:szCs w:val="20"/>
        </w:rPr>
        <w:t>identifié</w:t>
      </w:r>
      <w:r w:rsidR="005A6021" w:rsidRPr="00367C86">
        <w:rPr>
          <w:rFonts w:ascii="Arial" w:hAnsi="Arial" w:cs="Arial"/>
          <w:sz w:val="20"/>
          <w:szCs w:val="20"/>
        </w:rPr>
        <w:t xml:space="preserve"> quelques </w:t>
      </w:r>
      <w:r w:rsidR="00267661" w:rsidRPr="00367C86">
        <w:rPr>
          <w:rFonts w:ascii="Arial" w:hAnsi="Arial" w:cs="Arial"/>
          <w:sz w:val="20"/>
          <w:szCs w:val="20"/>
        </w:rPr>
        <w:t xml:space="preserve">caractéristiques de ce que nous avons nommé le « phénomène » des technologies sans fil, nous tenterons </w:t>
      </w:r>
      <w:r w:rsidR="008C07B9" w:rsidRPr="00367C86">
        <w:rPr>
          <w:rFonts w:ascii="Arial" w:hAnsi="Arial" w:cs="Arial"/>
          <w:sz w:val="20"/>
          <w:szCs w:val="20"/>
        </w:rPr>
        <w:t xml:space="preserve">de dresser un panorama de l’état actuel des connaissances concernant leurs potentiels effets biologiques et sanitaires </w:t>
      </w:r>
      <w:r w:rsidR="003B22C3" w:rsidRPr="00367C86">
        <w:rPr>
          <w:rFonts w:ascii="Arial" w:hAnsi="Arial" w:cs="Arial"/>
          <w:sz w:val="20"/>
          <w:szCs w:val="20"/>
        </w:rPr>
        <w:t xml:space="preserve">et enfin </w:t>
      </w:r>
      <w:r w:rsidR="00295429" w:rsidRPr="00367C86">
        <w:rPr>
          <w:rFonts w:ascii="Arial" w:hAnsi="Arial" w:cs="Arial"/>
          <w:sz w:val="20"/>
          <w:szCs w:val="20"/>
        </w:rPr>
        <w:t xml:space="preserve">terminerons en esquissant les grandes polarisations de notre société face à ce qui est de toute évidence devenu un enjeu public majeur. </w:t>
      </w:r>
    </w:p>
    <w:p w:rsidR="00E26414" w:rsidRPr="00367C86" w:rsidRDefault="0017412B" w:rsidP="00367C86">
      <w:pPr>
        <w:ind w:left="0" w:firstLine="0"/>
        <w:rPr>
          <w:rFonts w:ascii="Arial" w:hAnsi="Arial" w:cs="Arial"/>
          <w:sz w:val="20"/>
          <w:szCs w:val="20"/>
        </w:rPr>
      </w:pPr>
      <w:r w:rsidRPr="00367C86">
        <w:rPr>
          <w:rFonts w:ascii="Arial" w:hAnsi="Arial" w:cs="Arial"/>
          <w:sz w:val="20"/>
          <w:szCs w:val="20"/>
        </w:rPr>
        <w:lastRenderedPageBreak/>
        <w:t>Le sujet n’</w:t>
      </w:r>
      <w:r w:rsidR="005A6021" w:rsidRPr="00367C86">
        <w:rPr>
          <w:rFonts w:ascii="Arial" w:hAnsi="Arial" w:cs="Arial"/>
          <w:sz w:val="20"/>
          <w:szCs w:val="20"/>
        </w:rPr>
        <w:t xml:space="preserve">est pas simple et s’est avéré nécessiter plus de temps qu’initialement prévu, </w:t>
      </w:r>
      <w:r w:rsidRPr="00367C86">
        <w:rPr>
          <w:rFonts w:ascii="Arial" w:hAnsi="Arial" w:cs="Arial"/>
          <w:sz w:val="20"/>
          <w:szCs w:val="20"/>
        </w:rPr>
        <w:t>nous espérons qu’il vous intéressera autant qu</w:t>
      </w:r>
      <w:r w:rsidR="001B422E" w:rsidRPr="00367C86">
        <w:rPr>
          <w:rFonts w:ascii="Arial" w:hAnsi="Arial" w:cs="Arial"/>
          <w:sz w:val="20"/>
          <w:szCs w:val="20"/>
        </w:rPr>
        <w:t xml:space="preserve">e nous </w:t>
      </w:r>
      <w:r w:rsidR="005A6021" w:rsidRPr="00367C86">
        <w:rPr>
          <w:rFonts w:ascii="Arial" w:hAnsi="Arial" w:cs="Arial"/>
          <w:sz w:val="20"/>
          <w:szCs w:val="20"/>
        </w:rPr>
        <w:t>avon</w:t>
      </w:r>
      <w:r w:rsidR="005F237C" w:rsidRPr="00367C86">
        <w:rPr>
          <w:rFonts w:ascii="Arial" w:hAnsi="Arial" w:cs="Arial"/>
          <w:sz w:val="20"/>
          <w:szCs w:val="20"/>
        </w:rPr>
        <w:t>s mis d’énergie</w:t>
      </w:r>
      <w:r w:rsidRPr="00367C86">
        <w:rPr>
          <w:rFonts w:ascii="Arial" w:hAnsi="Arial" w:cs="Arial"/>
          <w:sz w:val="20"/>
          <w:szCs w:val="20"/>
        </w:rPr>
        <w:t xml:space="preserve"> à y travailler. Vou</w:t>
      </w:r>
      <w:r w:rsidR="00295429" w:rsidRPr="00367C86">
        <w:rPr>
          <w:rFonts w:ascii="Arial" w:hAnsi="Arial" w:cs="Arial"/>
          <w:sz w:val="20"/>
          <w:szCs w:val="20"/>
        </w:rPr>
        <w:t xml:space="preserve">s trouverez à </w:t>
      </w:r>
      <w:r w:rsidRPr="00367C86">
        <w:rPr>
          <w:rFonts w:ascii="Arial" w:hAnsi="Arial" w:cs="Arial"/>
          <w:sz w:val="20"/>
          <w:szCs w:val="20"/>
        </w:rPr>
        <w:t xml:space="preserve">la fin de ce document un </w:t>
      </w:r>
      <w:r w:rsidR="00295429" w:rsidRPr="00367C86">
        <w:rPr>
          <w:rFonts w:ascii="Arial" w:hAnsi="Arial" w:cs="Arial"/>
          <w:sz w:val="20"/>
          <w:szCs w:val="20"/>
        </w:rPr>
        <w:t>sommaire ainsi que des annexes richement illustrées</w:t>
      </w:r>
      <w:r w:rsidRPr="00367C86">
        <w:rPr>
          <w:rFonts w:ascii="Arial" w:hAnsi="Arial" w:cs="Arial"/>
          <w:sz w:val="20"/>
          <w:szCs w:val="20"/>
        </w:rPr>
        <w:t xml:space="preserve"> </w:t>
      </w:r>
      <w:r w:rsidR="007764BB" w:rsidRPr="00367C86">
        <w:rPr>
          <w:rFonts w:ascii="Arial" w:hAnsi="Arial" w:cs="Arial"/>
          <w:sz w:val="20"/>
          <w:szCs w:val="20"/>
        </w:rPr>
        <w:t>- et parfois surprenantes -</w:t>
      </w:r>
      <w:r w:rsidRPr="00367C86">
        <w:rPr>
          <w:rFonts w:ascii="Arial" w:hAnsi="Arial" w:cs="Arial"/>
          <w:sz w:val="20"/>
          <w:szCs w:val="20"/>
        </w:rPr>
        <w:t xml:space="preserve"> </w:t>
      </w:r>
      <w:r w:rsidR="001B422E" w:rsidRPr="00367C86">
        <w:rPr>
          <w:rFonts w:ascii="Arial" w:hAnsi="Arial" w:cs="Arial"/>
          <w:sz w:val="20"/>
          <w:szCs w:val="20"/>
        </w:rPr>
        <w:t xml:space="preserve">et, enfin, </w:t>
      </w:r>
      <w:r w:rsidR="00030826" w:rsidRPr="00367C86">
        <w:rPr>
          <w:rFonts w:ascii="Arial" w:hAnsi="Arial" w:cs="Arial"/>
          <w:sz w:val="20"/>
          <w:szCs w:val="20"/>
        </w:rPr>
        <w:t>une bibliographie rassemblant les ouvrages et études cités dans ce mémoire, les notes en bas de page étant réservées aux compléments d’</w:t>
      </w:r>
      <w:r w:rsidR="007764BB" w:rsidRPr="00367C86">
        <w:rPr>
          <w:rFonts w:ascii="Arial" w:hAnsi="Arial" w:cs="Arial"/>
          <w:sz w:val="20"/>
          <w:szCs w:val="20"/>
        </w:rPr>
        <w:t>information, définitions</w:t>
      </w:r>
      <w:r w:rsidR="00030826" w:rsidRPr="00367C86">
        <w:rPr>
          <w:rFonts w:ascii="Arial" w:hAnsi="Arial" w:cs="Arial"/>
          <w:sz w:val="20"/>
          <w:szCs w:val="20"/>
        </w:rPr>
        <w:t xml:space="preserve"> et remarques personnelles.</w:t>
      </w:r>
      <w:r w:rsidR="00295429" w:rsidRPr="00367C86">
        <w:rPr>
          <w:rFonts w:ascii="Arial" w:hAnsi="Arial" w:cs="Arial"/>
          <w:sz w:val="20"/>
          <w:szCs w:val="20"/>
        </w:rPr>
        <w:t xml:space="preserve"> </w:t>
      </w:r>
    </w:p>
    <w:p w:rsidR="00E26414" w:rsidRPr="00367C86" w:rsidRDefault="00E26414" w:rsidP="00367C86">
      <w:pPr>
        <w:ind w:left="0" w:firstLine="0"/>
        <w:rPr>
          <w:rFonts w:ascii="Arial" w:hAnsi="Arial" w:cs="Arial"/>
          <w:sz w:val="20"/>
          <w:szCs w:val="20"/>
        </w:rPr>
      </w:pPr>
    </w:p>
    <w:p w:rsidR="001118E7" w:rsidRPr="00367C86" w:rsidRDefault="001118E7" w:rsidP="00367C86">
      <w:pPr>
        <w:ind w:left="0" w:firstLine="0"/>
        <w:rPr>
          <w:rFonts w:ascii="Arial" w:hAnsi="Arial" w:cs="Arial"/>
          <w:sz w:val="20"/>
          <w:szCs w:val="20"/>
        </w:rPr>
      </w:pPr>
    </w:p>
    <w:p w:rsidR="00497153" w:rsidRPr="00367C86" w:rsidRDefault="00497153" w:rsidP="00367C86">
      <w:pPr>
        <w:ind w:left="0" w:firstLine="0"/>
        <w:rPr>
          <w:rFonts w:ascii="Arial" w:hAnsi="Arial" w:cs="Arial"/>
          <w:sz w:val="20"/>
          <w:szCs w:val="20"/>
        </w:rPr>
      </w:pPr>
    </w:p>
    <w:p w:rsidR="00F86159" w:rsidRPr="00367C86" w:rsidRDefault="001E16A8" w:rsidP="009F3BB0">
      <w:pPr>
        <w:pStyle w:val="Paragraphedeliste"/>
        <w:numPr>
          <w:ilvl w:val="0"/>
          <w:numId w:val="1"/>
        </w:numPr>
        <w:rPr>
          <w:rFonts w:ascii="Arial" w:hAnsi="Arial" w:cs="Arial"/>
          <w:b/>
          <w:sz w:val="20"/>
          <w:szCs w:val="20"/>
        </w:rPr>
      </w:pPr>
      <w:r w:rsidRPr="00367C86">
        <w:rPr>
          <w:rFonts w:ascii="Arial" w:hAnsi="Arial" w:cs="Arial"/>
          <w:b/>
          <w:sz w:val="20"/>
          <w:szCs w:val="20"/>
        </w:rPr>
        <w:t>Identification et caractérisation des expositions aux r</w:t>
      </w:r>
      <w:r w:rsidR="00577327" w:rsidRPr="00367C86">
        <w:rPr>
          <w:rFonts w:ascii="Arial" w:hAnsi="Arial" w:cs="Arial"/>
          <w:b/>
          <w:sz w:val="20"/>
          <w:szCs w:val="20"/>
        </w:rPr>
        <w:t>adiofréquences</w:t>
      </w:r>
      <w:r w:rsidR="00206CD8" w:rsidRPr="00367C86">
        <w:rPr>
          <w:rFonts w:ascii="Arial" w:hAnsi="Arial" w:cs="Arial"/>
          <w:b/>
          <w:sz w:val="20"/>
          <w:szCs w:val="20"/>
        </w:rPr>
        <w:t xml:space="preserve"> </w:t>
      </w:r>
      <w:r w:rsidRPr="00367C86">
        <w:rPr>
          <w:rFonts w:ascii="Arial" w:hAnsi="Arial" w:cs="Arial"/>
          <w:b/>
          <w:sz w:val="20"/>
          <w:szCs w:val="20"/>
        </w:rPr>
        <w:t>liées aux technologies de communication sans fil :</w:t>
      </w:r>
      <w:r w:rsidR="002E7412" w:rsidRPr="00367C86">
        <w:rPr>
          <w:rFonts w:ascii="Arial" w:hAnsi="Arial" w:cs="Arial"/>
          <w:b/>
          <w:sz w:val="20"/>
          <w:szCs w:val="20"/>
        </w:rPr>
        <w:t xml:space="preserve"> </w:t>
      </w:r>
      <w:r w:rsidRPr="00367C86">
        <w:rPr>
          <w:rFonts w:ascii="Arial" w:hAnsi="Arial" w:cs="Arial"/>
          <w:b/>
          <w:sz w:val="20"/>
          <w:szCs w:val="20"/>
        </w:rPr>
        <w:t>un sujet complexe et multiple</w:t>
      </w:r>
    </w:p>
    <w:p w:rsidR="002E7412" w:rsidRPr="00367C86" w:rsidRDefault="002E7412" w:rsidP="00367C86">
      <w:pPr>
        <w:rPr>
          <w:rFonts w:ascii="Arial" w:hAnsi="Arial" w:cs="Arial"/>
          <w:sz w:val="20"/>
          <w:szCs w:val="20"/>
        </w:rPr>
      </w:pPr>
    </w:p>
    <w:p w:rsidR="002E7412" w:rsidRPr="00367C86" w:rsidRDefault="00B36436" w:rsidP="00367C86">
      <w:pPr>
        <w:ind w:left="0" w:firstLine="0"/>
        <w:rPr>
          <w:rFonts w:ascii="Arial" w:hAnsi="Arial" w:cs="Arial"/>
          <w:sz w:val="20"/>
          <w:szCs w:val="20"/>
        </w:rPr>
      </w:pPr>
      <w:r w:rsidRPr="00367C86">
        <w:rPr>
          <w:rFonts w:ascii="Arial" w:hAnsi="Arial" w:cs="Arial"/>
          <w:sz w:val="20"/>
          <w:szCs w:val="20"/>
        </w:rPr>
        <w:t>Il est courant de lire que l</w:t>
      </w:r>
      <w:r w:rsidR="002E7412" w:rsidRPr="00367C86">
        <w:rPr>
          <w:rFonts w:ascii="Arial" w:hAnsi="Arial" w:cs="Arial"/>
          <w:sz w:val="20"/>
          <w:szCs w:val="20"/>
        </w:rPr>
        <w:t xml:space="preserve">es télécommunications sans fil et les objets connectés reposent sur l’usage de radiofréquences. </w:t>
      </w:r>
      <w:r w:rsidRPr="00367C86">
        <w:rPr>
          <w:rFonts w:ascii="Arial" w:hAnsi="Arial" w:cs="Arial"/>
          <w:sz w:val="20"/>
          <w:szCs w:val="20"/>
        </w:rPr>
        <w:t>C</w:t>
      </w:r>
      <w:r w:rsidR="001E16A8" w:rsidRPr="00367C86">
        <w:rPr>
          <w:rFonts w:ascii="Arial" w:hAnsi="Arial" w:cs="Arial"/>
          <w:sz w:val="20"/>
          <w:szCs w:val="20"/>
        </w:rPr>
        <w:t>ette assertion se retrouve en effet</w:t>
      </w:r>
      <w:r w:rsidRPr="00367C86">
        <w:rPr>
          <w:rFonts w:ascii="Arial" w:hAnsi="Arial" w:cs="Arial"/>
          <w:sz w:val="20"/>
          <w:szCs w:val="20"/>
        </w:rPr>
        <w:t xml:space="preserve"> dans nombre d’introductions d’études portant sur l’éventualité d’effets bio</w:t>
      </w:r>
      <w:r w:rsidR="00396937" w:rsidRPr="00367C86">
        <w:rPr>
          <w:rFonts w:ascii="Arial" w:hAnsi="Arial" w:cs="Arial"/>
          <w:sz w:val="20"/>
          <w:szCs w:val="20"/>
        </w:rPr>
        <w:t>logiqu</w:t>
      </w:r>
      <w:r w:rsidR="00777A63" w:rsidRPr="00367C86">
        <w:rPr>
          <w:rFonts w:ascii="Arial" w:hAnsi="Arial" w:cs="Arial"/>
          <w:sz w:val="20"/>
          <w:szCs w:val="20"/>
        </w:rPr>
        <w:t>es des radiofréquences et de même</w:t>
      </w:r>
      <w:r w:rsidR="001E16A8" w:rsidRPr="00367C86">
        <w:rPr>
          <w:rFonts w:ascii="Arial" w:hAnsi="Arial" w:cs="Arial"/>
          <w:sz w:val="20"/>
          <w:szCs w:val="20"/>
        </w:rPr>
        <w:t>,</w:t>
      </w:r>
      <w:r w:rsidR="00396937" w:rsidRPr="00367C86">
        <w:rPr>
          <w:rFonts w:ascii="Arial" w:hAnsi="Arial" w:cs="Arial"/>
          <w:sz w:val="20"/>
          <w:szCs w:val="20"/>
        </w:rPr>
        <w:t xml:space="preserve"> </w:t>
      </w:r>
      <w:r w:rsidR="00BE0E2E" w:rsidRPr="00367C86">
        <w:rPr>
          <w:rFonts w:ascii="Arial" w:hAnsi="Arial" w:cs="Arial"/>
          <w:sz w:val="20"/>
          <w:szCs w:val="20"/>
        </w:rPr>
        <w:t xml:space="preserve">après un rapport d’expertise collective intitulé </w:t>
      </w:r>
      <w:r w:rsidR="00BE0E2E" w:rsidRPr="00367C86">
        <w:rPr>
          <w:rFonts w:ascii="Arial" w:hAnsi="Arial" w:cs="Arial"/>
          <w:i/>
          <w:sz w:val="20"/>
          <w:szCs w:val="20"/>
        </w:rPr>
        <w:t>R</w:t>
      </w:r>
      <w:r w:rsidR="00396937" w:rsidRPr="00367C86">
        <w:rPr>
          <w:rFonts w:ascii="Arial" w:hAnsi="Arial" w:cs="Arial"/>
          <w:i/>
          <w:sz w:val="20"/>
          <w:szCs w:val="20"/>
        </w:rPr>
        <w:t>adiofréquences et Enfants</w:t>
      </w:r>
      <w:r w:rsidR="00396937" w:rsidRPr="00367C86">
        <w:rPr>
          <w:rFonts w:ascii="Arial" w:hAnsi="Arial" w:cs="Arial"/>
          <w:sz w:val="20"/>
          <w:szCs w:val="20"/>
        </w:rPr>
        <w:t xml:space="preserve"> publié en 2016</w:t>
      </w:r>
      <w:r w:rsidR="00BE0E2E" w:rsidRPr="00367C86">
        <w:rPr>
          <w:rFonts w:ascii="Arial" w:hAnsi="Arial" w:cs="Arial"/>
          <w:sz w:val="20"/>
          <w:szCs w:val="20"/>
        </w:rPr>
        <w:t xml:space="preserve">, </w:t>
      </w:r>
      <w:r w:rsidRPr="00367C86">
        <w:rPr>
          <w:rFonts w:ascii="Arial" w:hAnsi="Arial" w:cs="Arial"/>
          <w:sz w:val="20"/>
          <w:szCs w:val="20"/>
        </w:rPr>
        <w:t>l’</w:t>
      </w:r>
      <w:r w:rsidR="001E16A8" w:rsidRPr="00367C86">
        <w:rPr>
          <w:rFonts w:ascii="Arial" w:hAnsi="Arial" w:cs="Arial"/>
          <w:sz w:val="20"/>
          <w:szCs w:val="20"/>
        </w:rPr>
        <w:t>agence</w:t>
      </w:r>
      <w:r w:rsidR="00E16FF3" w:rsidRPr="00367C86">
        <w:rPr>
          <w:rFonts w:ascii="Arial" w:hAnsi="Arial" w:cs="Arial"/>
          <w:sz w:val="20"/>
          <w:szCs w:val="20"/>
        </w:rPr>
        <w:t xml:space="preserve"> française</w:t>
      </w:r>
      <w:r w:rsidR="001E16A8" w:rsidRPr="00367C86">
        <w:rPr>
          <w:rFonts w:ascii="Arial" w:hAnsi="Arial" w:cs="Arial"/>
          <w:sz w:val="20"/>
          <w:szCs w:val="20"/>
        </w:rPr>
        <w:t xml:space="preserve"> en charge de l’évaluation des risques sanitaires (</w:t>
      </w:r>
      <w:r w:rsidRPr="00367C86">
        <w:rPr>
          <w:rFonts w:ascii="Arial" w:hAnsi="Arial" w:cs="Arial"/>
          <w:sz w:val="20"/>
          <w:szCs w:val="20"/>
        </w:rPr>
        <w:t>A</w:t>
      </w:r>
      <w:r w:rsidR="00E16FF3" w:rsidRPr="00367C86">
        <w:rPr>
          <w:rFonts w:ascii="Arial" w:hAnsi="Arial" w:cs="Arial"/>
          <w:sz w:val="20"/>
          <w:szCs w:val="20"/>
        </w:rPr>
        <w:t>NSES</w:t>
      </w:r>
      <w:r w:rsidR="00E16FF3" w:rsidRPr="00367C86">
        <w:rPr>
          <w:rStyle w:val="Appelnotedebasdep"/>
          <w:rFonts w:ascii="Arial" w:hAnsi="Arial" w:cs="Arial"/>
          <w:sz w:val="20"/>
          <w:szCs w:val="20"/>
        </w:rPr>
        <w:footnoteReference w:id="5"/>
      </w:r>
      <w:r w:rsidR="001E16A8" w:rsidRPr="00367C86">
        <w:rPr>
          <w:rFonts w:ascii="Arial" w:hAnsi="Arial" w:cs="Arial"/>
          <w:sz w:val="20"/>
          <w:szCs w:val="20"/>
        </w:rPr>
        <w:t>)</w:t>
      </w:r>
      <w:r w:rsidR="00396937" w:rsidRPr="00367C86">
        <w:rPr>
          <w:rFonts w:ascii="Arial" w:hAnsi="Arial" w:cs="Arial"/>
          <w:sz w:val="20"/>
          <w:szCs w:val="20"/>
        </w:rPr>
        <w:t xml:space="preserve"> a mis </w:t>
      </w:r>
      <w:r w:rsidR="00175EDB" w:rsidRPr="00367C86">
        <w:rPr>
          <w:rFonts w:ascii="Arial" w:hAnsi="Arial" w:cs="Arial"/>
          <w:sz w:val="20"/>
          <w:szCs w:val="20"/>
        </w:rPr>
        <w:t xml:space="preserve">en consultation publique </w:t>
      </w:r>
      <w:r w:rsidR="00396937" w:rsidRPr="00367C86">
        <w:rPr>
          <w:rFonts w:ascii="Arial" w:hAnsi="Arial" w:cs="Arial"/>
          <w:sz w:val="20"/>
          <w:szCs w:val="20"/>
        </w:rPr>
        <w:t xml:space="preserve">en septembre 2024 </w:t>
      </w:r>
      <w:r w:rsidRPr="00367C86">
        <w:rPr>
          <w:rFonts w:ascii="Arial" w:hAnsi="Arial" w:cs="Arial"/>
          <w:sz w:val="20"/>
          <w:szCs w:val="20"/>
        </w:rPr>
        <w:t xml:space="preserve">un pré-rapport intitulé </w:t>
      </w:r>
      <w:r w:rsidRPr="00367C86">
        <w:rPr>
          <w:rFonts w:ascii="Arial" w:hAnsi="Arial" w:cs="Arial"/>
          <w:i/>
          <w:sz w:val="20"/>
          <w:szCs w:val="20"/>
        </w:rPr>
        <w:t>Radiofréquences et cancer</w:t>
      </w:r>
      <w:r w:rsidR="00175EDB" w:rsidRPr="00367C86">
        <w:rPr>
          <w:rStyle w:val="Appelnotedebasdep"/>
          <w:rFonts w:ascii="Arial" w:hAnsi="Arial" w:cs="Arial"/>
          <w:i/>
          <w:sz w:val="20"/>
          <w:szCs w:val="20"/>
        </w:rPr>
        <w:footnoteReference w:id="6"/>
      </w:r>
      <w:r w:rsidR="00175EDB" w:rsidRPr="00367C86">
        <w:rPr>
          <w:rFonts w:ascii="Arial" w:hAnsi="Arial" w:cs="Arial"/>
          <w:sz w:val="20"/>
          <w:szCs w:val="20"/>
        </w:rPr>
        <w:t>.</w:t>
      </w:r>
      <w:r w:rsidRPr="00367C86">
        <w:rPr>
          <w:rFonts w:ascii="Arial" w:hAnsi="Arial" w:cs="Arial"/>
          <w:sz w:val="20"/>
          <w:szCs w:val="20"/>
        </w:rPr>
        <w:t xml:space="preserve"> </w:t>
      </w:r>
      <w:r w:rsidR="00396937" w:rsidRPr="00367C86">
        <w:rPr>
          <w:rFonts w:ascii="Arial" w:hAnsi="Arial" w:cs="Arial"/>
          <w:sz w:val="20"/>
          <w:szCs w:val="20"/>
        </w:rPr>
        <w:t>Or c</w:t>
      </w:r>
      <w:r w:rsidR="002E7412" w:rsidRPr="00367C86">
        <w:rPr>
          <w:rFonts w:ascii="Arial" w:hAnsi="Arial" w:cs="Arial"/>
          <w:sz w:val="20"/>
          <w:szCs w:val="20"/>
        </w:rPr>
        <w:t>e terme, « radiofréquences », bien qu’entendu régulièrement</w:t>
      </w:r>
      <w:r w:rsidR="00F1268E" w:rsidRPr="00367C86">
        <w:rPr>
          <w:rFonts w:ascii="Arial" w:hAnsi="Arial" w:cs="Arial"/>
          <w:sz w:val="20"/>
          <w:szCs w:val="20"/>
        </w:rPr>
        <w:t>,</w:t>
      </w:r>
      <w:r w:rsidR="002E7412" w:rsidRPr="00367C86">
        <w:rPr>
          <w:rFonts w:ascii="Arial" w:hAnsi="Arial" w:cs="Arial"/>
          <w:sz w:val="20"/>
          <w:szCs w:val="20"/>
        </w:rPr>
        <w:t xml:space="preserve"> n’est pas d’emblée facile à comprendre pour qui n’a pas fait</w:t>
      </w:r>
      <w:r w:rsidR="00BE0E2E" w:rsidRPr="00367C86">
        <w:rPr>
          <w:rFonts w:ascii="Arial" w:hAnsi="Arial" w:cs="Arial"/>
          <w:sz w:val="20"/>
          <w:szCs w:val="20"/>
        </w:rPr>
        <w:t xml:space="preserve"> d’études de physique : comment définir cette notion ? Q</w:t>
      </w:r>
      <w:r w:rsidR="002E7412" w:rsidRPr="00367C86">
        <w:rPr>
          <w:rFonts w:ascii="Arial" w:hAnsi="Arial" w:cs="Arial"/>
          <w:sz w:val="20"/>
          <w:szCs w:val="20"/>
        </w:rPr>
        <w:t xml:space="preserve">uelles caractéristiques pouvons-nous d’ores et déjà </w:t>
      </w:r>
      <w:r w:rsidR="00F1268E" w:rsidRPr="00367C86">
        <w:rPr>
          <w:rFonts w:ascii="Arial" w:hAnsi="Arial" w:cs="Arial"/>
          <w:sz w:val="20"/>
          <w:szCs w:val="20"/>
        </w:rPr>
        <w:t>dégager</w:t>
      </w:r>
      <w:r w:rsidR="00BE0E2E" w:rsidRPr="00367C86">
        <w:rPr>
          <w:rFonts w:ascii="Arial" w:hAnsi="Arial" w:cs="Arial"/>
          <w:sz w:val="20"/>
          <w:szCs w:val="20"/>
        </w:rPr>
        <w:t xml:space="preserve"> à son sujet</w:t>
      </w:r>
      <w:r w:rsidR="00F1268E" w:rsidRPr="00367C86">
        <w:rPr>
          <w:rFonts w:ascii="Arial" w:hAnsi="Arial" w:cs="Arial"/>
          <w:sz w:val="20"/>
          <w:szCs w:val="20"/>
        </w:rPr>
        <w:t> ?</w:t>
      </w:r>
      <w:r w:rsidR="00BE0E2E" w:rsidRPr="00367C86">
        <w:rPr>
          <w:rFonts w:ascii="Arial" w:hAnsi="Arial" w:cs="Arial"/>
          <w:sz w:val="20"/>
          <w:szCs w:val="20"/>
        </w:rPr>
        <w:t xml:space="preserve"> Et constitue-t-elle un cadre</w:t>
      </w:r>
      <w:r w:rsidR="00396937" w:rsidRPr="00367C86">
        <w:rPr>
          <w:rFonts w:ascii="Arial" w:hAnsi="Arial" w:cs="Arial"/>
          <w:sz w:val="20"/>
          <w:szCs w:val="20"/>
        </w:rPr>
        <w:t xml:space="preserve"> </w:t>
      </w:r>
      <w:r w:rsidR="00BE0E2E" w:rsidRPr="00367C86">
        <w:rPr>
          <w:rFonts w:ascii="Arial" w:hAnsi="Arial" w:cs="Arial"/>
          <w:sz w:val="20"/>
          <w:szCs w:val="20"/>
        </w:rPr>
        <w:t>bien ajusté pour caractériser les émissions liées aux technologies sans fil ?</w:t>
      </w:r>
    </w:p>
    <w:p w:rsidR="00596FD6" w:rsidRPr="00367C86" w:rsidRDefault="00596FD6" w:rsidP="00367C86">
      <w:pPr>
        <w:rPr>
          <w:rFonts w:ascii="Arial" w:hAnsi="Arial" w:cs="Arial"/>
          <w:sz w:val="20"/>
          <w:szCs w:val="20"/>
        </w:rPr>
      </w:pPr>
    </w:p>
    <w:p w:rsidR="00BE0E2E" w:rsidRPr="00367C86" w:rsidRDefault="001E16A8" w:rsidP="009F3BB0">
      <w:pPr>
        <w:pStyle w:val="Paragraphedeliste"/>
        <w:numPr>
          <w:ilvl w:val="0"/>
          <w:numId w:val="5"/>
        </w:numPr>
        <w:rPr>
          <w:rFonts w:ascii="Arial" w:hAnsi="Arial" w:cs="Arial"/>
          <w:sz w:val="20"/>
          <w:szCs w:val="20"/>
          <w:u w:val="single"/>
        </w:rPr>
      </w:pPr>
      <w:r w:rsidRPr="00367C86">
        <w:rPr>
          <w:rFonts w:ascii="Arial" w:hAnsi="Arial" w:cs="Arial"/>
          <w:sz w:val="20"/>
          <w:szCs w:val="20"/>
          <w:u w:val="single"/>
        </w:rPr>
        <w:t xml:space="preserve">Radiofréquences utilisées par les technologies sans fil : un cadre </w:t>
      </w:r>
      <w:r w:rsidR="00EC3196" w:rsidRPr="00367C86">
        <w:rPr>
          <w:rFonts w:ascii="Arial" w:hAnsi="Arial" w:cs="Arial"/>
          <w:sz w:val="20"/>
          <w:szCs w:val="20"/>
          <w:u w:val="single"/>
        </w:rPr>
        <w:t xml:space="preserve">conceptuel </w:t>
      </w:r>
      <w:r w:rsidRPr="00367C86">
        <w:rPr>
          <w:rFonts w:ascii="Arial" w:hAnsi="Arial" w:cs="Arial"/>
          <w:sz w:val="20"/>
          <w:szCs w:val="20"/>
          <w:u w:val="single"/>
        </w:rPr>
        <w:t>à cerner</w:t>
      </w:r>
    </w:p>
    <w:p w:rsidR="00BE0E2E" w:rsidRPr="00367C86" w:rsidRDefault="00BE0E2E" w:rsidP="00367C86">
      <w:pPr>
        <w:rPr>
          <w:rFonts w:ascii="Arial" w:hAnsi="Arial" w:cs="Arial"/>
          <w:sz w:val="20"/>
          <w:szCs w:val="20"/>
        </w:rPr>
      </w:pPr>
    </w:p>
    <w:p w:rsidR="004427B8" w:rsidRPr="00367C86" w:rsidRDefault="00DC7C80" w:rsidP="00367C86">
      <w:pPr>
        <w:ind w:left="0" w:firstLine="0"/>
        <w:rPr>
          <w:rFonts w:ascii="Arial" w:hAnsi="Arial" w:cs="Arial"/>
          <w:sz w:val="20"/>
          <w:szCs w:val="20"/>
        </w:rPr>
      </w:pPr>
      <w:r w:rsidRPr="00367C86">
        <w:rPr>
          <w:rFonts w:ascii="Arial" w:hAnsi="Arial" w:cs="Arial"/>
          <w:sz w:val="20"/>
          <w:szCs w:val="20"/>
        </w:rPr>
        <w:t>A la différence des molécules chimiques qui ont un nom précis, le champ lexical pour l’étude des effets des technologies sans fil sur la santé est vaste. En effe</w:t>
      </w:r>
      <w:r w:rsidR="00777A63" w:rsidRPr="00367C86">
        <w:rPr>
          <w:rFonts w:ascii="Arial" w:hAnsi="Arial" w:cs="Arial"/>
          <w:sz w:val="20"/>
          <w:szCs w:val="20"/>
        </w:rPr>
        <w:t xml:space="preserve">t, les études visant à évaluer leur impact biologique </w:t>
      </w:r>
      <w:r w:rsidRPr="00367C86">
        <w:rPr>
          <w:rFonts w:ascii="Arial" w:hAnsi="Arial" w:cs="Arial"/>
          <w:sz w:val="20"/>
          <w:szCs w:val="20"/>
        </w:rPr>
        <w:t xml:space="preserve">nomment différemment leur sujet, employant </w:t>
      </w:r>
      <w:r w:rsidR="004427B8" w:rsidRPr="00367C86">
        <w:rPr>
          <w:rFonts w:ascii="Arial" w:hAnsi="Arial" w:cs="Arial"/>
          <w:sz w:val="20"/>
          <w:szCs w:val="20"/>
        </w:rPr>
        <w:t xml:space="preserve">pour leurs mots-clefs </w:t>
      </w:r>
      <w:r w:rsidRPr="00367C86">
        <w:rPr>
          <w:rFonts w:ascii="Arial" w:hAnsi="Arial" w:cs="Arial"/>
          <w:sz w:val="20"/>
          <w:szCs w:val="20"/>
        </w:rPr>
        <w:t>un lexique varié</w:t>
      </w:r>
      <w:r w:rsidR="00394AA2" w:rsidRPr="00367C86">
        <w:rPr>
          <w:rStyle w:val="Appelnotedebasdep"/>
          <w:rFonts w:ascii="Arial" w:hAnsi="Arial" w:cs="Arial"/>
          <w:sz w:val="20"/>
          <w:szCs w:val="20"/>
        </w:rPr>
        <w:footnoteReference w:id="7"/>
      </w:r>
      <w:r w:rsidR="00394AA2" w:rsidRPr="00367C86">
        <w:rPr>
          <w:rFonts w:ascii="Arial" w:hAnsi="Arial" w:cs="Arial"/>
          <w:sz w:val="20"/>
          <w:szCs w:val="20"/>
        </w:rPr>
        <w:t>.</w:t>
      </w:r>
      <w:r w:rsidR="004427B8" w:rsidRPr="00367C86">
        <w:rPr>
          <w:rFonts w:ascii="Arial" w:hAnsi="Arial" w:cs="Arial"/>
          <w:sz w:val="20"/>
          <w:szCs w:val="20"/>
        </w:rPr>
        <w:t xml:space="preserve"> </w:t>
      </w:r>
    </w:p>
    <w:p w:rsidR="004427B8" w:rsidRPr="00367C86" w:rsidRDefault="004427B8" w:rsidP="00367C86">
      <w:pPr>
        <w:ind w:left="0" w:firstLine="0"/>
        <w:rPr>
          <w:rFonts w:ascii="Arial" w:hAnsi="Arial" w:cs="Arial"/>
          <w:sz w:val="20"/>
          <w:szCs w:val="20"/>
        </w:rPr>
      </w:pPr>
    </w:p>
    <w:p w:rsidR="00175EDB" w:rsidRPr="00367C86" w:rsidRDefault="00466981" w:rsidP="00367C86">
      <w:pPr>
        <w:ind w:left="0" w:firstLine="0"/>
        <w:rPr>
          <w:rFonts w:ascii="Arial" w:hAnsi="Arial" w:cs="Arial"/>
          <w:sz w:val="20"/>
          <w:szCs w:val="20"/>
        </w:rPr>
      </w:pPr>
      <w:r w:rsidRPr="00367C86">
        <w:rPr>
          <w:rFonts w:ascii="Arial" w:hAnsi="Arial" w:cs="Arial"/>
          <w:sz w:val="20"/>
          <w:szCs w:val="20"/>
        </w:rPr>
        <w:t>Car l</w:t>
      </w:r>
      <w:r w:rsidR="00581C5D" w:rsidRPr="00367C86">
        <w:rPr>
          <w:rFonts w:ascii="Arial" w:hAnsi="Arial" w:cs="Arial"/>
          <w:sz w:val="20"/>
          <w:szCs w:val="20"/>
        </w:rPr>
        <w:t>es</w:t>
      </w:r>
      <w:r w:rsidR="00A636FD" w:rsidRPr="00367C86">
        <w:rPr>
          <w:rFonts w:ascii="Arial" w:hAnsi="Arial" w:cs="Arial"/>
          <w:sz w:val="20"/>
          <w:szCs w:val="20"/>
        </w:rPr>
        <w:t xml:space="preserve"> ra</w:t>
      </w:r>
      <w:r w:rsidR="00581C5D" w:rsidRPr="00367C86">
        <w:rPr>
          <w:rFonts w:ascii="Arial" w:hAnsi="Arial" w:cs="Arial"/>
          <w:sz w:val="20"/>
          <w:szCs w:val="20"/>
        </w:rPr>
        <w:t>diofréquences couvrent un</w:t>
      </w:r>
      <w:r w:rsidR="00175EDB" w:rsidRPr="00367C86">
        <w:rPr>
          <w:rFonts w:ascii="Arial" w:hAnsi="Arial" w:cs="Arial"/>
          <w:sz w:val="20"/>
          <w:szCs w:val="20"/>
        </w:rPr>
        <w:t xml:space="preserve"> vaste</w:t>
      </w:r>
      <w:r w:rsidR="00F66F88" w:rsidRPr="00367C86">
        <w:rPr>
          <w:rFonts w:ascii="Arial" w:hAnsi="Arial" w:cs="Arial"/>
          <w:sz w:val="20"/>
          <w:szCs w:val="20"/>
        </w:rPr>
        <w:t xml:space="preserve"> spectre</w:t>
      </w:r>
      <w:r w:rsidR="00706F4C" w:rsidRPr="00367C86">
        <w:rPr>
          <w:rFonts w:ascii="Arial" w:hAnsi="Arial" w:cs="Arial"/>
          <w:sz w:val="20"/>
          <w:szCs w:val="20"/>
        </w:rPr>
        <w:t xml:space="preserve"> </w:t>
      </w:r>
      <w:r w:rsidRPr="00367C86">
        <w:rPr>
          <w:rFonts w:ascii="Arial" w:hAnsi="Arial" w:cs="Arial"/>
          <w:sz w:val="20"/>
          <w:szCs w:val="20"/>
        </w:rPr>
        <w:t xml:space="preserve">: ainsi, </w:t>
      </w:r>
      <w:r w:rsidR="00175EDB" w:rsidRPr="00367C86">
        <w:rPr>
          <w:rFonts w:ascii="Arial" w:hAnsi="Arial" w:cs="Arial"/>
          <w:sz w:val="20"/>
          <w:szCs w:val="20"/>
        </w:rPr>
        <w:t xml:space="preserve">ondes électromagnétiques, ondes radio, </w:t>
      </w:r>
      <w:r w:rsidR="006F4D92" w:rsidRPr="00367C86">
        <w:rPr>
          <w:rFonts w:ascii="Arial" w:hAnsi="Arial" w:cs="Arial"/>
          <w:sz w:val="20"/>
          <w:szCs w:val="20"/>
        </w:rPr>
        <w:t xml:space="preserve">radiofréquences, micro-ondes (également appelées </w:t>
      </w:r>
      <w:r w:rsidR="00175EDB" w:rsidRPr="00367C86">
        <w:rPr>
          <w:rFonts w:ascii="Arial" w:hAnsi="Arial" w:cs="Arial"/>
          <w:sz w:val="20"/>
          <w:szCs w:val="20"/>
        </w:rPr>
        <w:t>hyperfréquences</w:t>
      </w:r>
      <w:r w:rsidR="006F4D92" w:rsidRPr="00367C86">
        <w:rPr>
          <w:rFonts w:ascii="Arial" w:hAnsi="Arial" w:cs="Arial"/>
          <w:sz w:val="20"/>
          <w:szCs w:val="20"/>
        </w:rPr>
        <w:t>)</w:t>
      </w:r>
      <w:r w:rsidR="00175EDB" w:rsidRPr="00367C86">
        <w:rPr>
          <w:rFonts w:ascii="Arial" w:hAnsi="Arial" w:cs="Arial"/>
          <w:sz w:val="20"/>
          <w:szCs w:val="20"/>
        </w:rPr>
        <w:t xml:space="preserve"> sont autant de cadres théoriques</w:t>
      </w:r>
      <w:r w:rsidR="00D630B0" w:rsidRPr="00367C86">
        <w:rPr>
          <w:rFonts w:ascii="Arial" w:hAnsi="Arial" w:cs="Arial"/>
          <w:sz w:val="20"/>
          <w:szCs w:val="20"/>
        </w:rPr>
        <w:t xml:space="preserve"> à délimite</w:t>
      </w:r>
      <w:r w:rsidR="00706F4C" w:rsidRPr="00367C86">
        <w:rPr>
          <w:rFonts w:ascii="Arial" w:hAnsi="Arial" w:cs="Arial"/>
          <w:sz w:val="20"/>
          <w:szCs w:val="20"/>
        </w:rPr>
        <w:t>r, N</w:t>
      </w:r>
      <w:r w:rsidR="00E11A05" w:rsidRPr="00367C86">
        <w:rPr>
          <w:rFonts w:ascii="Arial" w:hAnsi="Arial" w:cs="Arial"/>
          <w:sz w:val="20"/>
          <w:szCs w:val="20"/>
        </w:rPr>
        <w:t xml:space="preserve">ous le verrons plus bas dans la partie consacrée à l’état des connaissances </w:t>
      </w:r>
      <w:r w:rsidR="006F4D92" w:rsidRPr="00367C86">
        <w:rPr>
          <w:rFonts w:ascii="Arial" w:hAnsi="Arial" w:cs="Arial"/>
          <w:sz w:val="20"/>
          <w:szCs w:val="20"/>
        </w:rPr>
        <w:t>scientifiques sur le sujet, cette multiplicité</w:t>
      </w:r>
      <w:r w:rsidR="00E11A05" w:rsidRPr="00367C86">
        <w:rPr>
          <w:rFonts w:ascii="Arial" w:hAnsi="Arial" w:cs="Arial"/>
          <w:sz w:val="20"/>
          <w:szCs w:val="20"/>
        </w:rPr>
        <w:t xml:space="preserve"> peut conduire à une grande</w:t>
      </w:r>
      <w:r w:rsidR="00A151AA" w:rsidRPr="00367C86">
        <w:rPr>
          <w:rFonts w:ascii="Arial" w:hAnsi="Arial" w:cs="Arial"/>
          <w:sz w:val="20"/>
          <w:szCs w:val="20"/>
        </w:rPr>
        <w:t xml:space="preserve"> hétérogénéité d’études portant sur</w:t>
      </w:r>
      <w:r w:rsidR="00E11A05" w:rsidRPr="00367C86">
        <w:rPr>
          <w:rFonts w:ascii="Arial" w:hAnsi="Arial" w:cs="Arial"/>
          <w:sz w:val="20"/>
          <w:szCs w:val="20"/>
        </w:rPr>
        <w:t xml:space="preserve"> des expositions à des niveaux</w:t>
      </w:r>
      <w:r w:rsidR="00CE5D02" w:rsidRPr="00367C86">
        <w:rPr>
          <w:rFonts w:ascii="Arial" w:hAnsi="Arial" w:cs="Arial"/>
          <w:sz w:val="20"/>
          <w:szCs w:val="20"/>
        </w:rPr>
        <w:t xml:space="preserve"> de fréquences bien différents.</w:t>
      </w:r>
    </w:p>
    <w:p w:rsidR="004638C7" w:rsidRPr="00367C86" w:rsidRDefault="004638C7" w:rsidP="00367C86">
      <w:pPr>
        <w:ind w:left="0" w:firstLine="0"/>
        <w:rPr>
          <w:rFonts w:ascii="Arial" w:hAnsi="Arial" w:cs="Arial"/>
          <w:sz w:val="20"/>
          <w:szCs w:val="20"/>
        </w:rPr>
      </w:pPr>
    </w:p>
    <w:p w:rsidR="004638C7" w:rsidRPr="00367C86" w:rsidRDefault="004638C7" w:rsidP="00367C86">
      <w:pPr>
        <w:ind w:left="0" w:firstLine="0"/>
        <w:rPr>
          <w:rFonts w:ascii="Arial" w:hAnsi="Arial" w:cs="Arial"/>
          <w:sz w:val="20"/>
          <w:szCs w:val="20"/>
        </w:rPr>
      </w:pPr>
      <w:r w:rsidRPr="00367C86">
        <w:rPr>
          <w:rFonts w:ascii="Arial" w:hAnsi="Arial" w:cs="Arial"/>
          <w:sz w:val="20"/>
          <w:szCs w:val="20"/>
        </w:rPr>
        <w:t>Les radiofréquences, tout comme les o</w:t>
      </w:r>
      <w:r w:rsidR="006F4D92" w:rsidRPr="00367C86">
        <w:rPr>
          <w:rFonts w:ascii="Arial" w:hAnsi="Arial" w:cs="Arial"/>
          <w:sz w:val="20"/>
          <w:szCs w:val="20"/>
        </w:rPr>
        <w:t>ndes radio ou les micro-ondes</w:t>
      </w:r>
      <w:r w:rsidRPr="00367C86">
        <w:rPr>
          <w:rFonts w:ascii="Arial" w:hAnsi="Arial" w:cs="Arial"/>
          <w:sz w:val="20"/>
          <w:szCs w:val="20"/>
        </w:rPr>
        <w:t xml:space="preserve"> son</w:t>
      </w:r>
      <w:r w:rsidR="00581C5D" w:rsidRPr="00367C86">
        <w:rPr>
          <w:rFonts w:ascii="Arial" w:hAnsi="Arial" w:cs="Arial"/>
          <w:sz w:val="20"/>
          <w:szCs w:val="20"/>
        </w:rPr>
        <w:t>t des ondes électromagnétiques qui se distinguent par leurs plages de fréquences et leurs applications.</w:t>
      </w:r>
    </w:p>
    <w:p w:rsidR="002B7C80" w:rsidRPr="00367C86" w:rsidRDefault="00211A7F" w:rsidP="00367C86">
      <w:pPr>
        <w:spacing w:before="100" w:beforeAutospacing="1" w:after="100" w:afterAutospacing="1"/>
        <w:ind w:left="0" w:firstLine="0"/>
        <w:rPr>
          <w:rFonts w:ascii="Arial" w:hAnsi="Arial" w:cs="Arial"/>
          <w:sz w:val="20"/>
          <w:szCs w:val="20"/>
        </w:rPr>
      </w:pPr>
      <w:r w:rsidRPr="00367C86">
        <w:rPr>
          <w:rFonts w:ascii="Arial" w:hAnsi="Arial" w:cs="Arial"/>
          <w:sz w:val="20"/>
          <w:szCs w:val="20"/>
        </w:rPr>
        <w:t>Les o</w:t>
      </w:r>
      <w:r w:rsidR="005D0A89" w:rsidRPr="00367C86">
        <w:rPr>
          <w:rFonts w:ascii="Arial" w:hAnsi="Arial" w:cs="Arial"/>
          <w:sz w:val="20"/>
          <w:szCs w:val="20"/>
        </w:rPr>
        <w:t xml:space="preserve">ndes électromagnétiques </w:t>
      </w:r>
      <w:r w:rsidR="006F4D92" w:rsidRPr="00367C86">
        <w:rPr>
          <w:rFonts w:ascii="Arial" w:hAnsi="Arial" w:cs="Arial"/>
          <w:sz w:val="20"/>
          <w:szCs w:val="20"/>
        </w:rPr>
        <w:t xml:space="preserve">sont des ondes qui </w:t>
      </w:r>
      <w:r w:rsidR="005D0A89" w:rsidRPr="00367C86">
        <w:rPr>
          <w:rFonts w:ascii="Arial" w:hAnsi="Arial" w:cs="Arial"/>
          <w:sz w:val="20"/>
          <w:szCs w:val="20"/>
        </w:rPr>
        <w:t>opèren</w:t>
      </w:r>
      <w:r w:rsidRPr="00367C86">
        <w:rPr>
          <w:rFonts w:ascii="Arial" w:hAnsi="Arial" w:cs="Arial"/>
          <w:sz w:val="20"/>
          <w:szCs w:val="20"/>
        </w:rPr>
        <w:t>t un transfert énergétique sous forme d’une vibration simultanée d’un champ électrique et d’un champ magnétique qui se propage dans l’air (pas de déplacement de matière, pas besoin de support mat</w:t>
      </w:r>
      <w:r w:rsidR="00581C5D" w:rsidRPr="00367C86">
        <w:rPr>
          <w:rFonts w:ascii="Arial" w:hAnsi="Arial" w:cs="Arial"/>
          <w:sz w:val="20"/>
          <w:szCs w:val="20"/>
        </w:rPr>
        <w:t xml:space="preserve">ériel). </w:t>
      </w:r>
      <w:r w:rsidR="006F4D92" w:rsidRPr="00367C86">
        <w:rPr>
          <w:rFonts w:ascii="Arial" w:hAnsi="Arial" w:cs="Arial"/>
          <w:sz w:val="20"/>
          <w:szCs w:val="20"/>
        </w:rPr>
        <w:t xml:space="preserve">Elles créent, ce faisant, </w:t>
      </w:r>
      <w:r w:rsidR="00E33D7F" w:rsidRPr="00367C86">
        <w:rPr>
          <w:rFonts w:ascii="Arial" w:hAnsi="Arial" w:cs="Arial"/>
          <w:sz w:val="20"/>
          <w:szCs w:val="20"/>
        </w:rPr>
        <w:t>un champ électromagnétique</w:t>
      </w:r>
      <w:r w:rsidR="006F4D92" w:rsidRPr="00367C86">
        <w:rPr>
          <w:rFonts w:ascii="Arial" w:hAnsi="Arial" w:cs="Arial"/>
          <w:sz w:val="20"/>
          <w:szCs w:val="20"/>
        </w:rPr>
        <w:t xml:space="preserve">. </w:t>
      </w:r>
      <w:r w:rsidR="002B7C80" w:rsidRPr="00367C86">
        <w:rPr>
          <w:rFonts w:ascii="Arial" w:hAnsi="Arial" w:cs="Arial"/>
          <w:sz w:val="20"/>
          <w:szCs w:val="20"/>
        </w:rPr>
        <w:t>Ces ondes sont classées</w:t>
      </w:r>
      <w:r w:rsidR="006F4D92" w:rsidRPr="00367C86">
        <w:rPr>
          <w:rFonts w:ascii="Arial" w:hAnsi="Arial" w:cs="Arial"/>
          <w:sz w:val="20"/>
          <w:szCs w:val="20"/>
        </w:rPr>
        <w:t xml:space="preserve"> par typologies en fonction de leurs niveaux de fréquences </w:t>
      </w:r>
      <w:r w:rsidR="00777A63" w:rsidRPr="00367C86">
        <w:rPr>
          <w:rFonts w:ascii="Arial" w:hAnsi="Arial" w:cs="Arial"/>
          <w:sz w:val="20"/>
          <w:szCs w:val="20"/>
        </w:rPr>
        <w:t xml:space="preserve">(auxquelles correspondent des longueurs d’ondes) </w:t>
      </w:r>
      <w:r w:rsidR="006F4D92" w:rsidRPr="00367C86">
        <w:rPr>
          <w:rFonts w:ascii="Arial" w:hAnsi="Arial" w:cs="Arial"/>
          <w:sz w:val="20"/>
          <w:szCs w:val="20"/>
        </w:rPr>
        <w:t xml:space="preserve">sur </w:t>
      </w:r>
      <w:r w:rsidR="002B7C80" w:rsidRPr="00367C86">
        <w:rPr>
          <w:rFonts w:ascii="Arial" w:hAnsi="Arial" w:cs="Arial"/>
          <w:sz w:val="20"/>
          <w:szCs w:val="20"/>
        </w:rPr>
        <w:t>un spectre </w:t>
      </w:r>
      <w:r w:rsidR="00581C5D" w:rsidRPr="00367C86">
        <w:rPr>
          <w:rFonts w:ascii="Arial" w:hAnsi="Arial" w:cs="Arial"/>
          <w:sz w:val="20"/>
          <w:szCs w:val="20"/>
        </w:rPr>
        <w:t>électromagnétique</w:t>
      </w:r>
      <w:r w:rsidR="00581C5D" w:rsidRPr="00367C86">
        <w:rPr>
          <w:rStyle w:val="Appelnotedebasdep"/>
          <w:rFonts w:ascii="Arial" w:hAnsi="Arial" w:cs="Arial"/>
          <w:sz w:val="20"/>
          <w:szCs w:val="20"/>
        </w:rPr>
        <w:footnoteReference w:id="8"/>
      </w:r>
      <w:r w:rsidR="00581C5D" w:rsidRPr="00367C86">
        <w:rPr>
          <w:rFonts w:ascii="Arial" w:hAnsi="Arial" w:cs="Arial"/>
          <w:sz w:val="20"/>
          <w:szCs w:val="20"/>
        </w:rPr>
        <w:t>.</w:t>
      </w:r>
    </w:p>
    <w:p w:rsidR="00BE577B" w:rsidRPr="00367C86" w:rsidRDefault="002B7C80" w:rsidP="00367C86">
      <w:pPr>
        <w:spacing w:before="100" w:beforeAutospacing="1" w:after="100" w:afterAutospacing="1"/>
        <w:ind w:left="0" w:firstLine="0"/>
        <w:rPr>
          <w:rFonts w:ascii="Arial" w:hAnsi="Arial" w:cs="Arial"/>
          <w:sz w:val="20"/>
          <w:szCs w:val="20"/>
        </w:rPr>
      </w:pPr>
      <w:r w:rsidRPr="00367C86">
        <w:rPr>
          <w:rFonts w:ascii="Arial" w:hAnsi="Arial" w:cs="Arial"/>
          <w:sz w:val="20"/>
          <w:szCs w:val="20"/>
        </w:rPr>
        <w:t>Il exist</w:t>
      </w:r>
      <w:r w:rsidR="008B1A3E" w:rsidRPr="00367C86">
        <w:rPr>
          <w:rFonts w:ascii="Arial" w:hAnsi="Arial" w:cs="Arial"/>
          <w:sz w:val="20"/>
          <w:szCs w:val="20"/>
        </w:rPr>
        <w:t>e diverses manières d’illustrer</w:t>
      </w:r>
      <w:r w:rsidR="00581C5D" w:rsidRPr="00367C86">
        <w:rPr>
          <w:rFonts w:ascii="Arial" w:hAnsi="Arial" w:cs="Arial"/>
          <w:sz w:val="20"/>
          <w:szCs w:val="20"/>
        </w:rPr>
        <w:t xml:space="preserve"> c</w:t>
      </w:r>
      <w:r w:rsidRPr="00367C86">
        <w:rPr>
          <w:rFonts w:ascii="Arial" w:hAnsi="Arial" w:cs="Arial"/>
          <w:sz w:val="20"/>
          <w:szCs w:val="20"/>
        </w:rPr>
        <w:t>e spectre électromagnétique</w:t>
      </w:r>
      <w:r w:rsidR="004E1664" w:rsidRPr="00367C86">
        <w:rPr>
          <w:rFonts w:ascii="Arial" w:hAnsi="Arial" w:cs="Arial"/>
          <w:sz w:val="20"/>
          <w:szCs w:val="20"/>
        </w:rPr>
        <w:t xml:space="preserve"> (cf. Annexe 1</w:t>
      </w:r>
      <w:r w:rsidR="00310794" w:rsidRPr="00367C86">
        <w:rPr>
          <w:rFonts w:ascii="Arial" w:hAnsi="Arial" w:cs="Arial"/>
          <w:sz w:val="20"/>
          <w:szCs w:val="20"/>
        </w:rPr>
        <w:t>)</w:t>
      </w:r>
      <w:r w:rsidR="00BE577B" w:rsidRPr="00367C86">
        <w:rPr>
          <w:rFonts w:ascii="Arial" w:hAnsi="Arial" w:cs="Arial"/>
          <w:sz w:val="20"/>
          <w:szCs w:val="20"/>
        </w:rPr>
        <w:t xml:space="preserve">, </w:t>
      </w:r>
      <w:r w:rsidR="00466981" w:rsidRPr="00367C86">
        <w:rPr>
          <w:rFonts w:ascii="Arial" w:hAnsi="Arial" w:cs="Arial"/>
          <w:sz w:val="20"/>
          <w:szCs w:val="20"/>
        </w:rPr>
        <w:t>les délimitations des radiofréquences n’étant pas toujours consensuelles</w:t>
      </w:r>
      <w:r w:rsidR="00466981" w:rsidRPr="00367C86">
        <w:rPr>
          <w:rStyle w:val="Appelnotedebasdep"/>
          <w:rFonts w:ascii="Arial" w:hAnsi="Arial" w:cs="Arial"/>
          <w:sz w:val="20"/>
          <w:szCs w:val="20"/>
        </w:rPr>
        <w:footnoteReference w:id="9"/>
      </w:r>
      <w:r w:rsidR="00466981" w:rsidRPr="00367C86">
        <w:rPr>
          <w:rFonts w:ascii="Arial" w:hAnsi="Arial" w:cs="Arial"/>
          <w:sz w:val="20"/>
          <w:szCs w:val="20"/>
        </w:rPr>
        <w:t>.</w:t>
      </w:r>
      <w:r w:rsidR="00706F4C" w:rsidRPr="00367C86">
        <w:rPr>
          <w:rFonts w:ascii="Arial" w:hAnsi="Arial" w:cs="Arial"/>
          <w:sz w:val="20"/>
          <w:szCs w:val="20"/>
        </w:rPr>
        <w:t xml:space="preserve"> </w:t>
      </w:r>
    </w:p>
    <w:p w:rsidR="002B7C80" w:rsidRPr="00367C86" w:rsidRDefault="00BE577B" w:rsidP="00367C86">
      <w:pPr>
        <w:spacing w:after="100" w:afterAutospacing="1"/>
        <w:ind w:left="0" w:firstLine="0"/>
        <w:rPr>
          <w:rFonts w:ascii="Arial" w:hAnsi="Arial" w:cs="Arial"/>
          <w:sz w:val="20"/>
          <w:szCs w:val="20"/>
        </w:rPr>
      </w:pPr>
      <w:r w:rsidRPr="00367C86">
        <w:rPr>
          <w:rFonts w:ascii="Arial" w:hAnsi="Arial" w:cs="Arial"/>
          <w:sz w:val="20"/>
          <w:szCs w:val="20"/>
        </w:rPr>
        <w:lastRenderedPageBreak/>
        <w:t>D</w:t>
      </w:r>
      <w:r w:rsidR="008B1A3E" w:rsidRPr="00367C86">
        <w:rPr>
          <w:rFonts w:ascii="Arial" w:hAnsi="Arial" w:cs="Arial"/>
          <w:sz w:val="20"/>
          <w:szCs w:val="20"/>
        </w:rPr>
        <w:t>eux modèles ont reten</w:t>
      </w:r>
      <w:r w:rsidR="00777A63" w:rsidRPr="00367C86">
        <w:rPr>
          <w:rFonts w:ascii="Arial" w:hAnsi="Arial" w:cs="Arial"/>
          <w:sz w:val="20"/>
          <w:szCs w:val="20"/>
        </w:rPr>
        <w:t>u mon attention</w:t>
      </w:r>
      <w:r w:rsidR="008B1A3E" w:rsidRPr="00367C86">
        <w:rPr>
          <w:rFonts w:ascii="Arial" w:hAnsi="Arial" w:cs="Arial"/>
          <w:sz w:val="20"/>
          <w:szCs w:val="20"/>
        </w:rPr>
        <w:t>,</w:t>
      </w:r>
      <w:r w:rsidR="00A25B08" w:rsidRPr="00367C86">
        <w:rPr>
          <w:rFonts w:ascii="Arial" w:hAnsi="Arial" w:cs="Arial"/>
          <w:sz w:val="20"/>
          <w:szCs w:val="20"/>
        </w:rPr>
        <w:t xml:space="preserve"> les voici présentés ci-dessous</w:t>
      </w:r>
      <w:r w:rsidR="005F237C" w:rsidRPr="00367C86">
        <w:rPr>
          <w:rFonts w:ascii="Arial" w:hAnsi="Arial" w:cs="Arial"/>
          <w:sz w:val="20"/>
          <w:szCs w:val="20"/>
        </w:rPr>
        <w:t> :</w:t>
      </w:r>
    </w:p>
    <w:p w:rsidR="00A27C61" w:rsidRPr="00367C86" w:rsidRDefault="00A27C61" w:rsidP="009F3BB0">
      <w:pPr>
        <w:pStyle w:val="Paragraphedeliste"/>
        <w:numPr>
          <w:ilvl w:val="0"/>
          <w:numId w:val="8"/>
        </w:numPr>
        <w:spacing w:after="100" w:afterAutospacing="1"/>
        <w:rPr>
          <w:rFonts w:ascii="Arial" w:hAnsi="Arial" w:cs="Arial"/>
          <w:sz w:val="20"/>
          <w:szCs w:val="20"/>
        </w:rPr>
      </w:pPr>
      <w:r w:rsidRPr="00367C86">
        <w:rPr>
          <w:rFonts w:ascii="Arial" w:hAnsi="Arial" w:cs="Arial"/>
          <w:sz w:val="20"/>
          <w:szCs w:val="20"/>
        </w:rPr>
        <w:t>Le spectre électromagnétique selon RTE</w:t>
      </w:r>
      <w:r w:rsidR="00BE577B" w:rsidRPr="00367C86">
        <w:rPr>
          <w:rFonts w:ascii="Arial" w:hAnsi="Arial" w:cs="Arial"/>
          <w:sz w:val="20"/>
          <w:szCs w:val="20"/>
        </w:rPr>
        <w:t xml:space="preserve"> – Réseau de transport d’électricité</w:t>
      </w:r>
      <w:r w:rsidRPr="00367C86">
        <w:rPr>
          <w:rFonts w:ascii="Arial" w:hAnsi="Arial" w:cs="Arial"/>
          <w:sz w:val="20"/>
          <w:szCs w:val="20"/>
        </w:rPr>
        <w:t xml:space="preserve"> (</w:t>
      </w:r>
      <w:r w:rsidRPr="00367C86">
        <w:rPr>
          <w:rFonts w:ascii="Arial" w:hAnsi="Arial" w:cs="Arial"/>
          <w:sz w:val="20"/>
          <w:szCs w:val="20"/>
          <w:shd w:val="clear" w:color="auto" w:fill="FFFFFF"/>
        </w:rPr>
        <w:t>gestionnaire du réseau public de transport d'électricité haute tension en France métropolitaine</w:t>
      </w:r>
      <w:r w:rsidRPr="00367C86">
        <w:rPr>
          <w:rFonts w:ascii="Arial" w:hAnsi="Arial" w:cs="Arial"/>
          <w:sz w:val="20"/>
          <w:szCs w:val="20"/>
        </w:rPr>
        <w:t>) :</w:t>
      </w:r>
    </w:p>
    <w:p w:rsidR="00765C06" w:rsidRPr="00367C86" w:rsidRDefault="00765C06" w:rsidP="00367C86">
      <w:pPr>
        <w:pStyle w:val="Paragraphedeliste"/>
        <w:spacing w:after="100" w:afterAutospacing="1"/>
        <w:ind w:left="1440" w:firstLine="0"/>
        <w:rPr>
          <w:rFonts w:ascii="Arial" w:hAnsi="Arial" w:cs="Arial"/>
          <w:sz w:val="20"/>
          <w:szCs w:val="20"/>
        </w:rPr>
      </w:pPr>
    </w:p>
    <w:p w:rsidR="00B51D4A" w:rsidRPr="00367C86" w:rsidRDefault="00B51D4A" w:rsidP="00367C86">
      <w:pPr>
        <w:ind w:left="-284" w:firstLine="0"/>
        <w:jc w:val="center"/>
        <w:rPr>
          <w:rFonts w:ascii="Arial" w:hAnsi="Arial" w:cs="Arial"/>
          <w:sz w:val="20"/>
          <w:szCs w:val="20"/>
        </w:rPr>
      </w:pPr>
      <w:r w:rsidRPr="00367C86">
        <w:rPr>
          <w:rFonts w:ascii="Arial" w:hAnsi="Arial" w:cs="Arial"/>
          <w:noProof/>
          <w:sz w:val="20"/>
          <w:szCs w:val="20"/>
          <w:lang w:eastAsia="fr-FR"/>
        </w:rPr>
        <w:drawing>
          <wp:inline distT="0" distB="0" distL="0" distR="0">
            <wp:extent cx="6119495" cy="2734310"/>
            <wp:effectExtent l="19050" t="0" r="0" b="0"/>
            <wp:docPr id="7"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srcRect/>
                    <a:stretch>
                      <a:fillRect/>
                    </a:stretch>
                  </pic:blipFill>
                  <pic:spPr bwMode="auto">
                    <a:xfrm>
                      <a:off x="0" y="0"/>
                      <a:ext cx="6119495" cy="2734310"/>
                    </a:xfrm>
                    <a:prstGeom prst="rect">
                      <a:avLst/>
                    </a:prstGeom>
                    <a:noFill/>
                    <a:ln w="9525">
                      <a:noFill/>
                      <a:miter lim="800000"/>
                      <a:headEnd/>
                      <a:tailEnd/>
                    </a:ln>
                  </pic:spPr>
                </pic:pic>
              </a:graphicData>
            </a:graphic>
          </wp:inline>
        </w:drawing>
      </w:r>
    </w:p>
    <w:p w:rsidR="00310794" w:rsidRPr="00367C86" w:rsidRDefault="00310794" w:rsidP="00367C86">
      <w:pPr>
        <w:ind w:left="0" w:firstLine="0"/>
        <w:jc w:val="left"/>
        <w:rPr>
          <w:rFonts w:ascii="Arial" w:hAnsi="Arial" w:cs="Arial"/>
          <w:sz w:val="20"/>
          <w:szCs w:val="20"/>
        </w:rPr>
      </w:pPr>
      <w:r w:rsidRPr="00367C86">
        <w:rPr>
          <w:rFonts w:ascii="Arial" w:hAnsi="Arial" w:cs="Arial"/>
          <w:sz w:val="20"/>
          <w:szCs w:val="20"/>
        </w:rPr>
        <w:t>Source : RTE</w:t>
      </w:r>
      <w:r w:rsidRPr="00367C86">
        <w:rPr>
          <w:rStyle w:val="Appelnotedebasdep"/>
          <w:rFonts w:ascii="Arial" w:hAnsi="Arial" w:cs="Arial"/>
          <w:sz w:val="20"/>
          <w:szCs w:val="20"/>
        </w:rPr>
        <w:footnoteReference w:id="10"/>
      </w:r>
    </w:p>
    <w:p w:rsidR="00765C06" w:rsidRPr="00367C86" w:rsidRDefault="008B1A3E" w:rsidP="00367C86">
      <w:pPr>
        <w:pStyle w:val="NormalWeb"/>
        <w:jc w:val="both"/>
        <w:rPr>
          <w:rFonts w:ascii="Arial" w:hAnsi="Arial" w:cs="Arial"/>
          <w:sz w:val="20"/>
          <w:szCs w:val="20"/>
        </w:rPr>
      </w:pPr>
      <w:r w:rsidRPr="00367C86">
        <w:rPr>
          <w:rFonts w:ascii="Arial" w:hAnsi="Arial" w:cs="Arial"/>
          <w:sz w:val="20"/>
          <w:szCs w:val="20"/>
        </w:rPr>
        <w:t>Cette représentation</w:t>
      </w:r>
      <w:r w:rsidR="00BE577B" w:rsidRPr="00367C86">
        <w:rPr>
          <w:rFonts w:ascii="Arial" w:hAnsi="Arial" w:cs="Arial"/>
          <w:sz w:val="20"/>
          <w:szCs w:val="20"/>
        </w:rPr>
        <w:t>, assez imprécise,</w:t>
      </w:r>
      <w:r w:rsidRPr="00367C86">
        <w:rPr>
          <w:rFonts w:ascii="Arial" w:hAnsi="Arial" w:cs="Arial"/>
          <w:sz w:val="20"/>
          <w:szCs w:val="20"/>
        </w:rPr>
        <w:t xml:space="preserve"> </w:t>
      </w:r>
      <w:r w:rsidR="00BE577B" w:rsidRPr="00367C86">
        <w:rPr>
          <w:rFonts w:ascii="Arial" w:hAnsi="Arial" w:cs="Arial"/>
          <w:sz w:val="20"/>
          <w:szCs w:val="20"/>
        </w:rPr>
        <w:t xml:space="preserve">présente toutefois </w:t>
      </w:r>
      <w:r w:rsidR="00A27C61" w:rsidRPr="00367C86">
        <w:rPr>
          <w:rFonts w:ascii="Arial" w:hAnsi="Arial" w:cs="Arial"/>
          <w:sz w:val="20"/>
          <w:szCs w:val="20"/>
        </w:rPr>
        <w:t>l’intérêt</w:t>
      </w:r>
      <w:r w:rsidR="00517672" w:rsidRPr="00367C86">
        <w:rPr>
          <w:rFonts w:ascii="Arial" w:hAnsi="Arial" w:cs="Arial"/>
          <w:sz w:val="20"/>
          <w:szCs w:val="20"/>
        </w:rPr>
        <w:t>, notamment,</w:t>
      </w:r>
      <w:r w:rsidR="00A27C61" w:rsidRPr="00367C86">
        <w:rPr>
          <w:rFonts w:ascii="Arial" w:hAnsi="Arial" w:cs="Arial"/>
          <w:sz w:val="20"/>
          <w:szCs w:val="20"/>
        </w:rPr>
        <w:t xml:space="preserve"> de replacer</w:t>
      </w:r>
      <w:r w:rsidR="006F4D92" w:rsidRPr="00367C86">
        <w:rPr>
          <w:rFonts w:ascii="Arial" w:hAnsi="Arial" w:cs="Arial"/>
          <w:sz w:val="20"/>
          <w:szCs w:val="20"/>
        </w:rPr>
        <w:t xml:space="preserve"> en perspective la valeur Zéro. E</w:t>
      </w:r>
      <w:r w:rsidR="00A27C61" w:rsidRPr="00367C86">
        <w:rPr>
          <w:rFonts w:ascii="Arial" w:hAnsi="Arial" w:cs="Arial"/>
          <w:sz w:val="20"/>
          <w:szCs w:val="20"/>
        </w:rPr>
        <w:t>n effet, une</w:t>
      </w:r>
      <w:r w:rsidR="00310794" w:rsidRPr="00367C86">
        <w:rPr>
          <w:rFonts w:ascii="Arial" w:hAnsi="Arial" w:cs="Arial"/>
          <w:sz w:val="20"/>
          <w:szCs w:val="20"/>
        </w:rPr>
        <w:t xml:space="preserve"> fréquence mesure le nombre d'oscillations par seconde, et 0 Hz signifi</w:t>
      </w:r>
      <w:r w:rsidR="00577EA3" w:rsidRPr="00367C86">
        <w:rPr>
          <w:rFonts w:ascii="Arial" w:hAnsi="Arial" w:cs="Arial"/>
          <w:sz w:val="20"/>
          <w:szCs w:val="20"/>
        </w:rPr>
        <w:t xml:space="preserve">e donc l'absence d'oscillations : </w:t>
      </w:r>
      <w:r w:rsidR="006F4D92" w:rsidRPr="00367C86">
        <w:rPr>
          <w:rFonts w:ascii="Arial" w:hAnsi="Arial" w:cs="Arial"/>
          <w:sz w:val="20"/>
          <w:szCs w:val="20"/>
        </w:rPr>
        <w:t xml:space="preserve">le champ reste </w:t>
      </w:r>
      <w:r w:rsidR="00A27C61" w:rsidRPr="00367C86">
        <w:rPr>
          <w:rFonts w:ascii="Arial" w:hAnsi="Arial" w:cs="Arial"/>
          <w:sz w:val="20"/>
          <w:szCs w:val="20"/>
        </w:rPr>
        <w:t xml:space="preserve">alors </w:t>
      </w:r>
      <w:r w:rsidR="006F4D92" w:rsidRPr="00367C86">
        <w:rPr>
          <w:rFonts w:ascii="Arial" w:hAnsi="Arial" w:cs="Arial"/>
          <w:sz w:val="20"/>
          <w:szCs w:val="20"/>
        </w:rPr>
        <w:t xml:space="preserve">statique, c’est-à-dire que l'énergie </w:t>
      </w:r>
      <w:r w:rsidR="00310794" w:rsidRPr="00367C86">
        <w:rPr>
          <w:rFonts w:ascii="Arial" w:hAnsi="Arial" w:cs="Arial"/>
          <w:sz w:val="20"/>
          <w:szCs w:val="20"/>
        </w:rPr>
        <w:t>est présente de manière constante sans modulation temporelle</w:t>
      </w:r>
      <w:r w:rsidR="006F4D92" w:rsidRPr="00367C86">
        <w:rPr>
          <w:rFonts w:ascii="Arial" w:hAnsi="Arial" w:cs="Arial"/>
          <w:sz w:val="20"/>
          <w:szCs w:val="20"/>
        </w:rPr>
        <w:t xml:space="preserve"> (ex : aimant permanent).</w:t>
      </w:r>
      <w:r w:rsidR="00777A63" w:rsidRPr="00367C86">
        <w:rPr>
          <w:rFonts w:ascii="Arial" w:hAnsi="Arial" w:cs="Arial"/>
          <w:sz w:val="20"/>
          <w:szCs w:val="20"/>
        </w:rPr>
        <w:t xml:space="preserve"> </w:t>
      </w:r>
      <w:r w:rsidR="0024223A" w:rsidRPr="00367C86">
        <w:rPr>
          <w:rFonts w:ascii="Arial" w:hAnsi="Arial" w:cs="Arial"/>
          <w:sz w:val="20"/>
          <w:szCs w:val="20"/>
        </w:rPr>
        <w:t>L</w:t>
      </w:r>
      <w:r w:rsidR="00310794" w:rsidRPr="00367C86">
        <w:rPr>
          <w:rFonts w:ascii="Arial" w:hAnsi="Arial" w:cs="Arial"/>
          <w:sz w:val="20"/>
          <w:szCs w:val="20"/>
        </w:rPr>
        <w:t xml:space="preserve">es champs </w:t>
      </w:r>
      <w:r w:rsidR="0024223A" w:rsidRPr="00367C86">
        <w:rPr>
          <w:rFonts w:ascii="Arial" w:hAnsi="Arial" w:cs="Arial"/>
          <w:sz w:val="20"/>
          <w:szCs w:val="20"/>
        </w:rPr>
        <w:t xml:space="preserve">statiques </w:t>
      </w:r>
      <w:r w:rsidR="00310794" w:rsidRPr="00367C86">
        <w:rPr>
          <w:rFonts w:ascii="Arial" w:hAnsi="Arial" w:cs="Arial"/>
          <w:sz w:val="20"/>
          <w:szCs w:val="20"/>
        </w:rPr>
        <w:t xml:space="preserve">ne se propagent </w:t>
      </w:r>
      <w:r w:rsidR="00BE577B" w:rsidRPr="00367C86">
        <w:rPr>
          <w:rFonts w:ascii="Arial" w:hAnsi="Arial" w:cs="Arial"/>
          <w:sz w:val="20"/>
          <w:szCs w:val="20"/>
        </w:rPr>
        <w:t>pas, contrairement aux</w:t>
      </w:r>
      <w:r w:rsidR="00777A63" w:rsidRPr="00367C86">
        <w:rPr>
          <w:rFonts w:ascii="Arial" w:hAnsi="Arial" w:cs="Arial"/>
          <w:sz w:val="20"/>
          <w:szCs w:val="20"/>
        </w:rPr>
        <w:t xml:space="preserve"> radiofréquences</w:t>
      </w:r>
      <w:r w:rsidR="00310794" w:rsidRPr="00367C86">
        <w:rPr>
          <w:rFonts w:ascii="Arial" w:hAnsi="Arial" w:cs="Arial"/>
          <w:sz w:val="20"/>
          <w:szCs w:val="20"/>
        </w:rPr>
        <w:t xml:space="preserve"> qui sont caractérisées par des vari</w:t>
      </w:r>
      <w:r w:rsidR="00E043D7" w:rsidRPr="00367C86">
        <w:rPr>
          <w:rFonts w:ascii="Arial" w:hAnsi="Arial" w:cs="Arial"/>
          <w:sz w:val="20"/>
          <w:szCs w:val="20"/>
        </w:rPr>
        <w:t xml:space="preserve">ations périodiques à une </w:t>
      </w:r>
      <w:r w:rsidR="00310794" w:rsidRPr="00367C86">
        <w:rPr>
          <w:rFonts w:ascii="Arial" w:hAnsi="Arial" w:cs="Arial"/>
          <w:sz w:val="20"/>
          <w:szCs w:val="20"/>
        </w:rPr>
        <w:t>fréquence non nu</w:t>
      </w:r>
      <w:r w:rsidR="00192290" w:rsidRPr="00367C86">
        <w:rPr>
          <w:rFonts w:ascii="Arial" w:hAnsi="Arial" w:cs="Arial"/>
          <w:sz w:val="20"/>
          <w:szCs w:val="20"/>
        </w:rPr>
        <w:t>lle</w:t>
      </w:r>
      <w:r w:rsidR="00777A63" w:rsidRPr="00367C86">
        <w:rPr>
          <w:rFonts w:ascii="Arial" w:hAnsi="Arial" w:cs="Arial"/>
          <w:sz w:val="20"/>
          <w:szCs w:val="20"/>
        </w:rPr>
        <w:t>. Par ailleurs, il est intéressant de constater que l’icône correspondant à la téléphonie mobile in</w:t>
      </w:r>
      <w:r w:rsidR="00582402" w:rsidRPr="00367C86">
        <w:rPr>
          <w:rFonts w:ascii="Arial" w:hAnsi="Arial" w:cs="Arial"/>
          <w:sz w:val="20"/>
          <w:szCs w:val="20"/>
        </w:rPr>
        <w:t>d</w:t>
      </w:r>
      <w:r w:rsidR="00777A63" w:rsidRPr="00367C86">
        <w:rPr>
          <w:rFonts w:ascii="Arial" w:hAnsi="Arial" w:cs="Arial"/>
          <w:sz w:val="20"/>
          <w:szCs w:val="20"/>
        </w:rPr>
        <w:t>ique des fréquences de « 700 à 2600 MHz »</w:t>
      </w:r>
      <w:r w:rsidR="00192290" w:rsidRPr="00367C86">
        <w:rPr>
          <w:rFonts w:ascii="Arial" w:hAnsi="Arial" w:cs="Arial"/>
          <w:sz w:val="20"/>
          <w:szCs w:val="20"/>
        </w:rPr>
        <w:t> :</w:t>
      </w:r>
      <w:r w:rsidR="00EB3D50" w:rsidRPr="00367C86">
        <w:rPr>
          <w:rFonts w:ascii="Arial" w:hAnsi="Arial" w:cs="Arial"/>
          <w:sz w:val="20"/>
          <w:szCs w:val="20"/>
        </w:rPr>
        <w:t xml:space="preserve"> </w:t>
      </w:r>
      <w:r w:rsidR="00582402" w:rsidRPr="00367C86">
        <w:rPr>
          <w:rFonts w:ascii="Arial" w:hAnsi="Arial" w:cs="Arial"/>
          <w:sz w:val="20"/>
          <w:szCs w:val="20"/>
        </w:rPr>
        <w:t>cette dél</w:t>
      </w:r>
      <w:r w:rsidR="00192290" w:rsidRPr="00367C86">
        <w:rPr>
          <w:rFonts w:ascii="Arial" w:hAnsi="Arial" w:cs="Arial"/>
          <w:sz w:val="20"/>
          <w:szCs w:val="20"/>
        </w:rPr>
        <w:t>imitation, bien qu’</w:t>
      </w:r>
      <w:r w:rsidR="00777A63" w:rsidRPr="00367C86">
        <w:rPr>
          <w:rFonts w:ascii="Arial" w:hAnsi="Arial" w:cs="Arial"/>
          <w:sz w:val="20"/>
          <w:szCs w:val="20"/>
        </w:rPr>
        <w:t>obsolète</w:t>
      </w:r>
      <w:r w:rsidR="00582402" w:rsidRPr="00367C86">
        <w:rPr>
          <w:rStyle w:val="Appelnotedebasdep"/>
          <w:rFonts w:ascii="Arial" w:hAnsi="Arial" w:cs="Arial"/>
          <w:sz w:val="20"/>
          <w:szCs w:val="20"/>
        </w:rPr>
        <w:footnoteReference w:id="11"/>
      </w:r>
      <w:r w:rsidR="00192290" w:rsidRPr="00367C86">
        <w:rPr>
          <w:rFonts w:ascii="Arial" w:hAnsi="Arial" w:cs="Arial"/>
          <w:sz w:val="20"/>
          <w:szCs w:val="20"/>
        </w:rPr>
        <w:t>,</w:t>
      </w:r>
      <w:r w:rsidR="00A27C61" w:rsidRPr="00367C86">
        <w:rPr>
          <w:rFonts w:ascii="Arial" w:hAnsi="Arial" w:cs="Arial"/>
          <w:sz w:val="20"/>
          <w:szCs w:val="20"/>
        </w:rPr>
        <w:t xml:space="preserve"> présente l’intérêt </w:t>
      </w:r>
      <w:r w:rsidR="00582402" w:rsidRPr="00367C86">
        <w:rPr>
          <w:rFonts w:ascii="Arial" w:hAnsi="Arial" w:cs="Arial"/>
          <w:sz w:val="20"/>
          <w:szCs w:val="20"/>
        </w:rPr>
        <w:t xml:space="preserve">de </w:t>
      </w:r>
      <w:r w:rsidR="001118E7" w:rsidRPr="00367C86">
        <w:rPr>
          <w:rFonts w:ascii="Arial" w:hAnsi="Arial" w:cs="Arial"/>
          <w:sz w:val="20"/>
          <w:szCs w:val="20"/>
        </w:rPr>
        <w:t>resserrer le sujet autour d’une sous-</w:t>
      </w:r>
      <w:r w:rsidR="00582402" w:rsidRPr="00367C86">
        <w:rPr>
          <w:rFonts w:ascii="Arial" w:hAnsi="Arial" w:cs="Arial"/>
          <w:sz w:val="20"/>
          <w:szCs w:val="20"/>
        </w:rPr>
        <w:t>catégorie de radiofréquences</w:t>
      </w:r>
      <w:r w:rsidR="001118E7" w:rsidRPr="00367C86">
        <w:rPr>
          <w:rFonts w:ascii="Arial" w:hAnsi="Arial" w:cs="Arial"/>
          <w:sz w:val="20"/>
          <w:szCs w:val="20"/>
        </w:rPr>
        <w:t xml:space="preserve">, celles </w:t>
      </w:r>
      <w:r w:rsidR="00582402" w:rsidRPr="00367C86">
        <w:rPr>
          <w:rFonts w:ascii="Arial" w:hAnsi="Arial" w:cs="Arial"/>
          <w:sz w:val="20"/>
          <w:szCs w:val="20"/>
        </w:rPr>
        <w:t xml:space="preserve">utilisées par les technologies de communication </w:t>
      </w:r>
      <w:r w:rsidR="00192290" w:rsidRPr="00367C86">
        <w:rPr>
          <w:rFonts w:ascii="Arial" w:hAnsi="Arial" w:cs="Arial"/>
          <w:sz w:val="20"/>
          <w:szCs w:val="20"/>
        </w:rPr>
        <w:t xml:space="preserve">sans fil, </w:t>
      </w:r>
      <w:r w:rsidR="00EB3D50" w:rsidRPr="00367C86">
        <w:rPr>
          <w:rFonts w:ascii="Arial" w:hAnsi="Arial" w:cs="Arial"/>
          <w:sz w:val="20"/>
          <w:szCs w:val="20"/>
        </w:rPr>
        <w:t>à savoir l</w:t>
      </w:r>
      <w:r w:rsidR="001118E7" w:rsidRPr="00367C86">
        <w:rPr>
          <w:rFonts w:ascii="Arial" w:hAnsi="Arial" w:cs="Arial"/>
          <w:sz w:val="20"/>
          <w:szCs w:val="20"/>
        </w:rPr>
        <w:t>es hyperfréquences (</w:t>
      </w:r>
      <w:r w:rsidR="00582402" w:rsidRPr="00367C86">
        <w:rPr>
          <w:rFonts w:ascii="Arial" w:hAnsi="Arial" w:cs="Arial"/>
          <w:sz w:val="20"/>
          <w:szCs w:val="20"/>
        </w:rPr>
        <w:t>ou micro-ondes</w:t>
      </w:r>
      <w:r w:rsidR="001118E7" w:rsidRPr="00367C86">
        <w:rPr>
          <w:rFonts w:ascii="Arial" w:hAnsi="Arial" w:cs="Arial"/>
          <w:sz w:val="20"/>
          <w:szCs w:val="20"/>
        </w:rPr>
        <w:t>)</w:t>
      </w:r>
      <w:r w:rsidR="00582402" w:rsidRPr="00367C86">
        <w:rPr>
          <w:rFonts w:ascii="Arial" w:hAnsi="Arial" w:cs="Arial"/>
          <w:sz w:val="20"/>
          <w:szCs w:val="20"/>
        </w:rPr>
        <w:t>.</w:t>
      </w:r>
      <w:r w:rsidR="00765C06" w:rsidRPr="00367C86">
        <w:rPr>
          <w:rFonts w:ascii="Arial" w:hAnsi="Arial" w:cs="Arial"/>
          <w:sz w:val="20"/>
          <w:szCs w:val="20"/>
        </w:rPr>
        <w:t xml:space="preserve"> </w:t>
      </w:r>
    </w:p>
    <w:p w:rsidR="00582402" w:rsidRPr="00367C86" w:rsidRDefault="00765C06" w:rsidP="00367C86">
      <w:pPr>
        <w:pStyle w:val="NormalWeb"/>
        <w:jc w:val="both"/>
        <w:rPr>
          <w:rFonts w:ascii="Arial" w:hAnsi="Arial" w:cs="Arial"/>
          <w:sz w:val="20"/>
          <w:szCs w:val="20"/>
        </w:rPr>
      </w:pPr>
      <w:r w:rsidRPr="00367C86">
        <w:rPr>
          <w:rFonts w:ascii="Arial" w:hAnsi="Arial" w:cs="Arial"/>
          <w:sz w:val="20"/>
          <w:szCs w:val="20"/>
        </w:rPr>
        <w:t xml:space="preserve">Toutes les hyperfréquences sont des radiofréquences, mais toutes les radiofréquences ne sont pas des hyperfréquences. </w:t>
      </w:r>
      <w:r w:rsidR="00582402" w:rsidRPr="00367C86">
        <w:rPr>
          <w:rFonts w:ascii="Arial" w:hAnsi="Arial" w:cs="Arial"/>
          <w:sz w:val="20"/>
          <w:szCs w:val="20"/>
        </w:rPr>
        <w:t>Les h</w:t>
      </w:r>
      <w:r w:rsidR="001118E7" w:rsidRPr="00367C86">
        <w:rPr>
          <w:rFonts w:ascii="Arial" w:hAnsi="Arial" w:cs="Arial"/>
          <w:sz w:val="20"/>
          <w:szCs w:val="20"/>
        </w:rPr>
        <w:t xml:space="preserve">yperfréquences </w:t>
      </w:r>
      <w:r w:rsidR="00582402" w:rsidRPr="00367C86">
        <w:rPr>
          <w:rFonts w:ascii="Arial" w:hAnsi="Arial" w:cs="Arial"/>
          <w:sz w:val="20"/>
          <w:szCs w:val="20"/>
        </w:rPr>
        <w:t>couvrent ainsi des bandes de fréquences compris</w:t>
      </w:r>
      <w:r w:rsidR="00A6789C" w:rsidRPr="00367C86">
        <w:rPr>
          <w:rFonts w:ascii="Arial" w:hAnsi="Arial" w:cs="Arial"/>
          <w:sz w:val="20"/>
          <w:szCs w:val="20"/>
        </w:rPr>
        <w:t xml:space="preserve">es entre 300 MHz et 300 GHz ; </w:t>
      </w:r>
      <w:r w:rsidR="00582402" w:rsidRPr="00367C86">
        <w:rPr>
          <w:rFonts w:ascii="Arial" w:hAnsi="Arial" w:cs="Arial"/>
          <w:sz w:val="20"/>
          <w:szCs w:val="20"/>
        </w:rPr>
        <w:t>ce</w:t>
      </w:r>
      <w:r w:rsidR="001118E7" w:rsidRPr="00367C86">
        <w:rPr>
          <w:rFonts w:ascii="Arial" w:hAnsi="Arial" w:cs="Arial"/>
          <w:sz w:val="20"/>
          <w:szCs w:val="20"/>
        </w:rPr>
        <w:t xml:space="preserve"> cadrage rejoint celui établi</w:t>
      </w:r>
      <w:r w:rsidR="00582402" w:rsidRPr="00367C86">
        <w:rPr>
          <w:rFonts w:ascii="Arial" w:hAnsi="Arial" w:cs="Arial"/>
          <w:sz w:val="20"/>
          <w:szCs w:val="20"/>
        </w:rPr>
        <w:t xml:space="preserve"> par l’AN</w:t>
      </w:r>
      <w:r w:rsidR="001118E7" w:rsidRPr="00367C86">
        <w:rPr>
          <w:rFonts w:ascii="Arial" w:hAnsi="Arial" w:cs="Arial"/>
          <w:sz w:val="20"/>
          <w:szCs w:val="20"/>
        </w:rPr>
        <w:t xml:space="preserve">FR. </w:t>
      </w:r>
    </w:p>
    <w:p w:rsidR="00582402" w:rsidRPr="00367C86" w:rsidRDefault="00582402" w:rsidP="009F3BB0">
      <w:pPr>
        <w:pStyle w:val="NormalWeb"/>
        <w:numPr>
          <w:ilvl w:val="0"/>
          <w:numId w:val="8"/>
        </w:numPr>
        <w:jc w:val="both"/>
        <w:rPr>
          <w:rFonts w:ascii="Arial" w:hAnsi="Arial" w:cs="Arial"/>
          <w:sz w:val="20"/>
          <w:szCs w:val="20"/>
        </w:rPr>
      </w:pPr>
      <w:r w:rsidRPr="00367C86">
        <w:rPr>
          <w:rFonts w:ascii="Arial" w:hAnsi="Arial" w:cs="Arial"/>
          <w:sz w:val="20"/>
          <w:szCs w:val="20"/>
        </w:rPr>
        <w:t>Passons au second modèle retenu :</w:t>
      </w:r>
    </w:p>
    <w:p w:rsidR="00765C06" w:rsidRPr="00367C86" w:rsidRDefault="00765C06" w:rsidP="00367C86">
      <w:pPr>
        <w:ind w:left="0" w:firstLine="0"/>
        <w:rPr>
          <w:rFonts w:ascii="Arial" w:hAnsi="Arial" w:cs="Arial"/>
          <w:sz w:val="20"/>
          <w:szCs w:val="20"/>
        </w:rPr>
      </w:pPr>
      <w:r w:rsidRPr="00367C86">
        <w:rPr>
          <w:rFonts w:ascii="Arial" w:hAnsi="Arial" w:cs="Arial"/>
          <w:sz w:val="20"/>
          <w:szCs w:val="20"/>
        </w:rPr>
        <w:t xml:space="preserve">La représentation ci-dessous, extraite d’une thèse soutenue par Massaoudi Hafawa en 2017, situe clairement les micro-ondes sur le spectre électromagnétique et indique par ailleurs qu’il s’agit de rayonnements non-ionisants. En effet, à la différence de la radioactivité qui produit des rayonnements ionisants, les micro-ondes (et plus largement les radiofréquences) </w:t>
      </w:r>
      <w:r w:rsidRPr="00367C86">
        <w:rPr>
          <w:rFonts w:ascii="Arial" w:hAnsi="Arial" w:cs="Arial"/>
          <w:sz w:val="20"/>
          <w:szCs w:val="20"/>
          <w:shd w:val="clear" w:color="auto" w:fill="FFFFFF"/>
        </w:rPr>
        <w:t>ne sont pas suffisamment énergétiques pour éjecter un électron d’un atome ou d’une molécule.</w:t>
      </w:r>
    </w:p>
    <w:p w:rsidR="00765C06" w:rsidRPr="00367C86" w:rsidRDefault="00765C06" w:rsidP="00367C86">
      <w:pPr>
        <w:pStyle w:val="NormalWeb"/>
        <w:jc w:val="both"/>
        <w:rPr>
          <w:rFonts w:ascii="Arial" w:hAnsi="Arial" w:cs="Arial"/>
          <w:sz w:val="20"/>
          <w:szCs w:val="20"/>
        </w:rPr>
      </w:pPr>
    </w:p>
    <w:p w:rsidR="008B1A3E" w:rsidRPr="00367C86" w:rsidRDefault="008B1A3E" w:rsidP="00367C86">
      <w:pPr>
        <w:pStyle w:val="NormalWeb"/>
        <w:jc w:val="both"/>
        <w:rPr>
          <w:rFonts w:ascii="Arial" w:hAnsi="Arial" w:cs="Arial"/>
          <w:sz w:val="20"/>
          <w:szCs w:val="20"/>
        </w:rPr>
      </w:pPr>
      <w:r w:rsidRPr="00367C86">
        <w:rPr>
          <w:rFonts w:ascii="Arial" w:hAnsi="Arial" w:cs="Arial"/>
          <w:noProof/>
          <w:sz w:val="20"/>
          <w:szCs w:val="20"/>
        </w:rPr>
        <w:lastRenderedPageBreak/>
        <w:drawing>
          <wp:inline distT="0" distB="0" distL="0" distR="0">
            <wp:extent cx="5886450" cy="3762375"/>
            <wp:effectExtent l="19050" t="0" r="0" b="0"/>
            <wp:docPr id="18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srcRect/>
                    <a:stretch>
                      <a:fillRect/>
                    </a:stretch>
                  </pic:blipFill>
                  <pic:spPr bwMode="auto">
                    <a:xfrm>
                      <a:off x="0" y="0"/>
                      <a:ext cx="5886450" cy="3762375"/>
                    </a:xfrm>
                    <a:prstGeom prst="rect">
                      <a:avLst/>
                    </a:prstGeom>
                    <a:noFill/>
                    <a:ln w="9525">
                      <a:noFill/>
                      <a:miter lim="800000"/>
                      <a:headEnd/>
                      <a:tailEnd/>
                    </a:ln>
                  </pic:spPr>
                </pic:pic>
              </a:graphicData>
            </a:graphic>
          </wp:inline>
        </w:drawing>
      </w:r>
      <w:r w:rsidRPr="00367C86">
        <w:rPr>
          <w:rFonts w:ascii="Arial" w:hAnsi="Arial" w:cs="Arial"/>
          <w:sz w:val="20"/>
          <w:szCs w:val="20"/>
        </w:rPr>
        <w:t>source</w:t>
      </w:r>
      <w:r w:rsidR="001118E7" w:rsidRPr="00367C86">
        <w:rPr>
          <w:rFonts w:ascii="Arial" w:hAnsi="Arial" w:cs="Arial"/>
          <w:sz w:val="20"/>
          <w:szCs w:val="20"/>
        </w:rPr>
        <w:t> : Massaoudi Hafawa</w:t>
      </w:r>
      <w:r w:rsidRPr="00367C86">
        <w:rPr>
          <w:rStyle w:val="Appelnotedebasdep"/>
          <w:rFonts w:ascii="Arial" w:hAnsi="Arial" w:cs="Arial"/>
          <w:sz w:val="20"/>
          <w:szCs w:val="20"/>
        </w:rPr>
        <w:footnoteReference w:id="12"/>
      </w:r>
    </w:p>
    <w:p w:rsidR="00A27C61" w:rsidRPr="00367C86" w:rsidRDefault="00B2324F" w:rsidP="00367C86">
      <w:pPr>
        <w:pStyle w:val="NormalWeb"/>
        <w:jc w:val="both"/>
        <w:rPr>
          <w:rFonts w:ascii="Arial" w:hAnsi="Arial" w:cs="Arial"/>
          <w:sz w:val="20"/>
          <w:szCs w:val="20"/>
        </w:rPr>
      </w:pPr>
      <w:r w:rsidRPr="00367C86">
        <w:rPr>
          <w:rFonts w:ascii="Arial" w:hAnsi="Arial" w:cs="Arial"/>
          <w:sz w:val="20"/>
          <w:szCs w:val="20"/>
        </w:rPr>
        <w:t>Autre point d’attention :</w:t>
      </w:r>
      <w:r w:rsidR="008B1A3E" w:rsidRPr="00367C86">
        <w:rPr>
          <w:rFonts w:ascii="Arial" w:hAnsi="Arial" w:cs="Arial"/>
          <w:sz w:val="20"/>
          <w:szCs w:val="20"/>
        </w:rPr>
        <w:t xml:space="preserve"> </w:t>
      </w:r>
      <w:r w:rsidR="00706F4C" w:rsidRPr="00367C86">
        <w:rPr>
          <w:rFonts w:ascii="Arial" w:hAnsi="Arial" w:cs="Arial"/>
          <w:sz w:val="20"/>
          <w:szCs w:val="20"/>
        </w:rPr>
        <w:t>Massaoudi</w:t>
      </w:r>
      <w:r w:rsidR="00A6789C" w:rsidRPr="00367C86">
        <w:rPr>
          <w:rFonts w:ascii="Arial" w:hAnsi="Arial" w:cs="Arial"/>
          <w:sz w:val="20"/>
          <w:szCs w:val="20"/>
        </w:rPr>
        <w:t xml:space="preserve"> Hafawa</w:t>
      </w:r>
      <w:r w:rsidR="00F057E1" w:rsidRPr="00367C86">
        <w:rPr>
          <w:rFonts w:ascii="Arial" w:hAnsi="Arial" w:cs="Arial"/>
          <w:sz w:val="20"/>
          <w:szCs w:val="20"/>
        </w:rPr>
        <w:t xml:space="preserve"> fait un lien entre</w:t>
      </w:r>
      <w:r w:rsidR="00A27C61" w:rsidRPr="00367C86">
        <w:rPr>
          <w:rFonts w:ascii="Arial" w:hAnsi="Arial" w:cs="Arial"/>
          <w:sz w:val="20"/>
          <w:szCs w:val="20"/>
        </w:rPr>
        <w:t xml:space="preserve"> </w:t>
      </w:r>
      <w:r w:rsidR="00A6789C" w:rsidRPr="00367C86">
        <w:rPr>
          <w:rFonts w:ascii="Arial" w:hAnsi="Arial" w:cs="Arial"/>
          <w:sz w:val="20"/>
          <w:szCs w:val="20"/>
        </w:rPr>
        <w:t xml:space="preserve">la téléphonie mobile </w:t>
      </w:r>
      <w:r w:rsidR="00F057E1" w:rsidRPr="00367C86">
        <w:rPr>
          <w:rFonts w:ascii="Arial" w:hAnsi="Arial" w:cs="Arial"/>
          <w:sz w:val="20"/>
          <w:szCs w:val="20"/>
        </w:rPr>
        <w:t>et</w:t>
      </w:r>
      <w:r w:rsidR="00A6789C" w:rsidRPr="00367C86">
        <w:rPr>
          <w:rFonts w:ascii="Arial" w:hAnsi="Arial" w:cs="Arial"/>
          <w:sz w:val="20"/>
          <w:szCs w:val="20"/>
        </w:rPr>
        <w:t xml:space="preserve"> les ELF</w:t>
      </w:r>
      <w:r w:rsidRPr="00367C86">
        <w:rPr>
          <w:rStyle w:val="Appelnotedebasdep"/>
          <w:rFonts w:ascii="Arial" w:hAnsi="Arial" w:cs="Arial"/>
          <w:sz w:val="20"/>
          <w:szCs w:val="20"/>
        </w:rPr>
        <w:footnoteReference w:id="13"/>
      </w:r>
      <w:r w:rsidR="00A6789C" w:rsidRPr="00367C86">
        <w:rPr>
          <w:rFonts w:ascii="Arial" w:hAnsi="Arial" w:cs="Arial"/>
          <w:sz w:val="20"/>
          <w:szCs w:val="20"/>
        </w:rPr>
        <w:t xml:space="preserve">. </w:t>
      </w:r>
      <w:r w:rsidR="005C771C" w:rsidRPr="00367C86">
        <w:rPr>
          <w:rFonts w:ascii="Arial" w:hAnsi="Arial" w:cs="Arial"/>
          <w:sz w:val="20"/>
          <w:szCs w:val="20"/>
        </w:rPr>
        <w:t>En effet, si les technologies sans fil émettent des hyperfréquences, ces ondes sont porteuses d’un signal contenant l’information (ex : la voix, dont la fréquence s’évalue en Hertz, qui est donc une ELF) et ce signal module l’onde porteuse</w:t>
      </w:r>
      <w:r w:rsidR="005935A4" w:rsidRPr="00367C86">
        <w:rPr>
          <w:rFonts w:ascii="Arial" w:hAnsi="Arial" w:cs="Arial"/>
          <w:sz w:val="20"/>
          <w:szCs w:val="20"/>
        </w:rPr>
        <w:t xml:space="preserve"> (cf. Annexe 2)</w:t>
      </w:r>
      <w:r w:rsidR="005C771C" w:rsidRPr="00367C86">
        <w:rPr>
          <w:rFonts w:ascii="Arial" w:hAnsi="Arial" w:cs="Arial"/>
          <w:sz w:val="20"/>
          <w:szCs w:val="20"/>
        </w:rPr>
        <w:t>. La nature de ce signal ainsi que la façon dont il module l’onde porteuse sont des caract</w:t>
      </w:r>
      <w:r w:rsidR="005765FB" w:rsidRPr="00367C86">
        <w:rPr>
          <w:rFonts w:ascii="Arial" w:hAnsi="Arial" w:cs="Arial"/>
          <w:sz w:val="20"/>
          <w:szCs w:val="20"/>
        </w:rPr>
        <w:t>éristiques à prendre également en</w:t>
      </w:r>
      <w:r w:rsidR="005C771C" w:rsidRPr="00367C86">
        <w:rPr>
          <w:rFonts w:ascii="Arial" w:hAnsi="Arial" w:cs="Arial"/>
          <w:sz w:val="20"/>
          <w:szCs w:val="20"/>
        </w:rPr>
        <w:t xml:space="preserve"> compte lors des études</w:t>
      </w:r>
      <w:r w:rsidR="00706F4C" w:rsidRPr="00367C86">
        <w:rPr>
          <w:rFonts w:ascii="Arial" w:hAnsi="Arial" w:cs="Arial"/>
          <w:sz w:val="20"/>
          <w:szCs w:val="20"/>
        </w:rPr>
        <w:t xml:space="preserve"> recherchant des effets biologiques</w:t>
      </w:r>
      <w:r w:rsidR="005C771C" w:rsidRPr="00367C86">
        <w:rPr>
          <w:rFonts w:ascii="Arial" w:hAnsi="Arial" w:cs="Arial"/>
          <w:sz w:val="20"/>
          <w:szCs w:val="20"/>
        </w:rPr>
        <w:t>, nous y reviendrons plus bas.</w:t>
      </w:r>
    </w:p>
    <w:p w:rsidR="00BB49EC" w:rsidRPr="00367C86" w:rsidRDefault="00F057E1" w:rsidP="00367C86">
      <w:pPr>
        <w:pStyle w:val="NormalWeb"/>
        <w:jc w:val="both"/>
        <w:rPr>
          <w:rFonts w:ascii="Arial" w:eastAsiaTheme="minorHAnsi" w:hAnsi="Arial" w:cs="Arial"/>
          <w:noProof/>
          <w:sz w:val="20"/>
          <w:szCs w:val="20"/>
        </w:rPr>
      </w:pPr>
      <w:r w:rsidRPr="00367C86">
        <w:rPr>
          <w:rFonts w:ascii="Arial" w:eastAsiaTheme="minorHAnsi" w:hAnsi="Arial" w:cs="Arial"/>
          <w:noProof/>
          <w:sz w:val="20"/>
          <w:szCs w:val="20"/>
        </w:rPr>
        <w:t xml:space="preserve">Retenons à ce stade </w:t>
      </w:r>
      <w:r w:rsidR="00BB49EC" w:rsidRPr="00367C86">
        <w:rPr>
          <w:rFonts w:ascii="Arial" w:eastAsiaTheme="minorHAnsi" w:hAnsi="Arial" w:cs="Arial"/>
          <w:noProof/>
          <w:sz w:val="20"/>
          <w:szCs w:val="20"/>
        </w:rPr>
        <w:t>que l’exposition varie en fonct</w:t>
      </w:r>
      <w:r w:rsidR="00B2324F" w:rsidRPr="00367C86">
        <w:rPr>
          <w:rFonts w:ascii="Arial" w:eastAsiaTheme="minorHAnsi" w:hAnsi="Arial" w:cs="Arial"/>
          <w:noProof/>
          <w:sz w:val="20"/>
          <w:szCs w:val="20"/>
        </w:rPr>
        <w:t xml:space="preserve">ion de la fréquence employée, </w:t>
      </w:r>
      <w:r w:rsidR="00BB49EC" w:rsidRPr="00367C86">
        <w:rPr>
          <w:rFonts w:ascii="Arial" w:eastAsiaTheme="minorHAnsi" w:hAnsi="Arial" w:cs="Arial"/>
          <w:noProof/>
          <w:sz w:val="20"/>
          <w:szCs w:val="20"/>
        </w:rPr>
        <w:t xml:space="preserve">qu’il existe une multiplicité de bandes de fréquences différentes selon les </w:t>
      </w:r>
      <w:r w:rsidR="00B2324F" w:rsidRPr="00367C86">
        <w:rPr>
          <w:rFonts w:ascii="Arial" w:eastAsiaTheme="minorHAnsi" w:hAnsi="Arial" w:cs="Arial"/>
          <w:noProof/>
          <w:sz w:val="20"/>
          <w:szCs w:val="20"/>
        </w:rPr>
        <w:t>applications qui en sont faites et que toutes les radiofréquences ne sont pas des hyperfréquences.</w:t>
      </w:r>
    </w:p>
    <w:p w:rsidR="00BB49EC" w:rsidRPr="00367C86" w:rsidRDefault="004E1664" w:rsidP="009F3BB0">
      <w:pPr>
        <w:pStyle w:val="NormalWeb"/>
        <w:numPr>
          <w:ilvl w:val="0"/>
          <w:numId w:val="5"/>
        </w:numPr>
        <w:jc w:val="both"/>
        <w:rPr>
          <w:rFonts w:ascii="Arial" w:eastAsiaTheme="minorHAnsi" w:hAnsi="Arial" w:cs="Arial"/>
          <w:noProof/>
          <w:sz w:val="20"/>
          <w:szCs w:val="20"/>
        </w:rPr>
      </w:pPr>
      <w:r w:rsidRPr="00367C86">
        <w:rPr>
          <w:rFonts w:ascii="Arial" w:eastAsiaTheme="minorHAnsi" w:hAnsi="Arial" w:cs="Arial"/>
          <w:noProof/>
          <w:sz w:val="20"/>
          <w:szCs w:val="20"/>
          <w:u w:val="single"/>
        </w:rPr>
        <w:t>Du</w:t>
      </w:r>
      <w:r w:rsidR="00BB49EC" w:rsidRPr="00367C86">
        <w:rPr>
          <w:rFonts w:ascii="Arial" w:eastAsiaTheme="minorHAnsi" w:hAnsi="Arial" w:cs="Arial"/>
          <w:noProof/>
          <w:sz w:val="20"/>
          <w:szCs w:val="20"/>
          <w:u w:val="single"/>
        </w:rPr>
        <w:t xml:space="preserve"> mille-feuilles au gloubi-boulga</w:t>
      </w:r>
      <w:r w:rsidR="00BB49EC" w:rsidRPr="00367C86">
        <w:rPr>
          <w:rFonts w:ascii="Arial" w:eastAsiaTheme="minorHAnsi" w:hAnsi="Arial" w:cs="Arial"/>
          <w:noProof/>
          <w:sz w:val="20"/>
          <w:szCs w:val="20"/>
        </w:rPr>
        <w:t> :</w:t>
      </w:r>
    </w:p>
    <w:p w:rsidR="005935A4" w:rsidRPr="00367C86" w:rsidRDefault="005935A4" w:rsidP="00367C86">
      <w:pPr>
        <w:pStyle w:val="NormalWeb"/>
        <w:jc w:val="both"/>
        <w:rPr>
          <w:rFonts w:ascii="Arial" w:eastAsiaTheme="minorHAnsi" w:hAnsi="Arial" w:cs="Arial"/>
          <w:noProof/>
          <w:sz w:val="20"/>
          <w:szCs w:val="20"/>
        </w:rPr>
      </w:pPr>
      <w:r w:rsidRPr="00367C86">
        <w:rPr>
          <w:rFonts w:ascii="Arial" w:eastAsiaTheme="minorHAnsi" w:hAnsi="Arial" w:cs="Arial"/>
          <w:noProof/>
          <w:sz w:val="20"/>
          <w:szCs w:val="20"/>
        </w:rPr>
        <w:t>Ainsi que nous l’avons annoncé en introduction, les organismes vivants baignent aujourd’hui dans un bain d’ondes, l’électrosmog. Pour cette partie d’identification des exposition</w:t>
      </w:r>
      <w:r w:rsidR="00F1400C" w:rsidRPr="00367C86">
        <w:rPr>
          <w:rFonts w:ascii="Arial" w:eastAsiaTheme="minorHAnsi" w:hAnsi="Arial" w:cs="Arial"/>
          <w:noProof/>
          <w:sz w:val="20"/>
          <w:szCs w:val="20"/>
        </w:rPr>
        <w:t>s</w:t>
      </w:r>
      <w:r w:rsidR="00E31020" w:rsidRPr="00367C86">
        <w:rPr>
          <w:rStyle w:val="Appelnotedebasdep"/>
          <w:rFonts w:ascii="Arial" w:eastAsiaTheme="minorHAnsi" w:hAnsi="Arial" w:cs="Arial"/>
          <w:noProof/>
          <w:sz w:val="20"/>
          <w:szCs w:val="20"/>
        </w:rPr>
        <w:footnoteReference w:id="14"/>
      </w:r>
      <w:r w:rsidRPr="00367C86">
        <w:rPr>
          <w:rFonts w:ascii="Arial" w:eastAsiaTheme="minorHAnsi" w:hAnsi="Arial" w:cs="Arial"/>
          <w:noProof/>
          <w:sz w:val="20"/>
          <w:szCs w:val="20"/>
        </w:rPr>
        <w:t>, nous avons tenté un exercice de formulation de schéma d’exposition aux hyperfréquences. L’exercice s’étant avéré plus périlleux que prévu, c</w:t>
      </w:r>
      <w:r w:rsidR="00BB49EC" w:rsidRPr="00367C86">
        <w:rPr>
          <w:rFonts w:ascii="Arial" w:eastAsiaTheme="minorHAnsi" w:hAnsi="Arial" w:cs="Arial"/>
          <w:noProof/>
          <w:sz w:val="20"/>
          <w:szCs w:val="20"/>
        </w:rPr>
        <w:t>ompte-tenu de la complexité et de la diversité des usages faits de</w:t>
      </w:r>
      <w:r w:rsidRPr="00367C86">
        <w:rPr>
          <w:rFonts w:ascii="Arial" w:eastAsiaTheme="minorHAnsi" w:hAnsi="Arial" w:cs="Arial"/>
          <w:noProof/>
          <w:sz w:val="20"/>
          <w:szCs w:val="20"/>
        </w:rPr>
        <w:t xml:space="preserve"> ces ondes électromagnétiques, nous avons finalement opté pour l’élaboration d’une liste des expositions (</w:t>
      </w:r>
      <w:r w:rsidR="00F1400C" w:rsidRPr="00367C86">
        <w:rPr>
          <w:rFonts w:ascii="Arial" w:eastAsiaTheme="minorHAnsi" w:hAnsi="Arial" w:cs="Arial"/>
          <w:noProof/>
          <w:sz w:val="20"/>
          <w:szCs w:val="20"/>
        </w:rPr>
        <w:t xml:space="preserve">cf. </w:t>
      </w:r>
      <w:r w:rsidRPr="00367C86">
        <w:rPr>
          <w:rFonts w:ascii="Arial" w:eastAsiaTheme="minorHAnsi" w:hAnsi="Arial" w:cs="Arial"/>
          <w:noProof/>
          <w:sz w:val="20"/>
          <w:szCs w:val="20"/>
        </w:rPr>
        <w:t xml:space="preserve">annexe 3). </w:t>
      </w:r>
    </w:p>
    <w:p w:rsidR="00BB49EC" w:rsidRPr="00367C86" w:rsidRDefault="005935A4" w:rsidP="00367C86">
      <w:pPr>
        <w:pStyle w:val="NormalWeb"/>
        <w:jc w:val="both"/>
        <w:rPr>
          <w:rFonts w:ascii="Arial" w:eastAsiaTheme="minorHAnsi" w:hAnsi="Arial" w:cs="Arial"/>
          <w:noProof/>
          <w:sz w:val="20"/>
          <w:szCs w:val="20"/>
        </w:rPr>
      </w:pPr>
      <w:r w:rsidRPr="00367C86">
        <w:rPr>
          <w:rFonts w:ascii="Arial" w:eastAsiaTheme="minorHAnsi" w:hAnsi="Arial" w:cs="Arial"/>
          <w:noProof/>
          <w:sz w:val="20"/>
          <w:szCs w:val="20"/>
        </w:rPr>
        <w:t>N</w:t>
      </w:r>
      <w:r w:rsidR="00BB49EC" w:rsidRPr="00367C86">
        <w:rPr>
          <w:rFonts w:ascii="Arial" w:eastAsiaTheme="minorHAnsi" w:hAnsi="Arial" w:cs="Arial"/>
          <w:noProof/>
          <w:sz w:val="20"/>
          <w:szCs w:val="20"/>
        </w:rPr>
        <w:t>ous restreindrons ce mémoire aux technologies sans fil recourant aux hyperfréquence</w:t>
      </w:r>
      <w:r w:rsidR="00706F4C" w:rsidRPr="00367C86">
        <w:rPr>
          <w:rFonts w:ascii="Arial" w:eastAsiaTheme="minorHAnsi" w:hAnsi="Arial" w:cs="Arial"/>
          <w:noProof/>
          <w:sz w:val="20"/>
          <w:szCs w:val="20"/>
        </w:rPr>
        <w:t xml:space="preserve">s mais </w:t>
      </w:r>
      <w:r w:rsidR="004E1664" w:rsidRPr="00367C86">
        <w:rPr>
          <w:rFonts w:ascii="Arial" w:eastAsiaTheme="minorHAnsi" w:hAnsi="Arial" w:cs="Arial"/>
          <w:noProof/>
          <w:sz w:val="20"/>
          <w:szCs w:val="20"/>
        </w:rPr>
        <w:t xml:space="preserve">avons toutefois fait apparaître </w:t>
      </w:r>
      <w:r w:rsidR="007D6D74" w:rsidRPr="00367C86">
        <w:rPr>
          <w:rFonts w:ascii="Arial" w:eastAsiaTheme="minorHAnsi" w:hAnsi="Arial" w:cs="Arial"/>
          <w:noProof/>
          <w:sz w:val="20"/>
          <w:szCs w:val="20"/>
        </w:rPr>
        <w:t xml:space="preserve">dans cette liste </w:t>
      </w:r>
      <w:r w:rsidR="004E1664" w:rsidRPr="00367C86">
        <w:rPr>
          <w:rFonts w:ascii="Arial" w:eastAsiaTheme="minorHAnsi" w:hAnsi="Arial" w:cs="Arial"/>
          <w:noProof/>
          <w:sz w:val="20"/>
          <w:szCs w:val="20"/>
        </w:rPr>
        <w:t>des ondes électromagnétiques qui ne sont pas des hy</w:t>
      </w:r>
      <w:r w:rsidRPr="00367C86">
        <w:rPr>
          <w:rFonts w:ascii="Arial" w:eastAsiaTheme="minorHAnsi" w:hAnsi="Arial" w:cs="Arial"/>
          <w:noProof/>
          <w:sz w:val="20"/>
          <w:szCs w:val="20"/>
        </w:rPr>
        <w:t xml:space="preserve">perfréquences </w:t>
      </w:r>
      <w:r w:rsidR="007D6D74" w:rsidRPr="00367C86">
        <w:rPr>
          <w:rFonts w:ascii="Arial" w:eastAsiaTheme="minorHAnsi" w:hAnsi="Arial" w:cs="Arial"/>
          <w:noProof/>
          <w:sz w:val="20"/>
          <w:szCs w:val="20"/>
        </w:rPr>
        <w:t xml:space="preserve"> (</w:t>
      </w:r>
      <w:r w:rsidRPr="00367C86">
        <w:rPr>
          <w:rFonts w:ascii="Arial" w:eastAsiaTheme="minorHAnsi" w:hAnsi="Arial" w:cs="Arial"/>
          <w:noProof/>
          <w:sz w:val="20"/>
          <w:szCs w:val="20"/>
        </w:rPr>
        <w:t>des hautes-fr</w:t>
      </w:r>
      <w:r w:rsidR="00EA5F89" w:rsidRPr="00367C86">
        <w:rPr>
          <w:rFonts w:ascii="Arial" w:eastAsiaTheme="minorHAnsi" w:hAnsi="Arial" w:cs="Arial"/>
          <w:noProof/>
          <w:sz w:val="20"/>
          <w:szCs w:val="20"/>
        </w:rPr>
        <w:t>équences inférieures à 300 MHz</w:t>
      </w:r>
      <w:r w:rsidR="007D6D74" w:rsidRPr="00367C86">
        <w:rPr>
          <w:rFonts w:ascii="Arial" w:eastAsiaTheme="minorHAnsi" w:hAnsi="Arial" w:cs="Arial"/>
          <w:noProof/>
          <w:sz w:val="20"/>
          <w:szCs w:val="20"/>
        </w:rPr>
        <w:t>), parce q</w:t>
      </w:r>
      <w:r w:rsidR="00EA5F89" w:rsidRPr="00367C86">
        <w:rPr>
          <w:rFonts w:ascii="Arial" w:eastAsiaTheme="minorHAnsi" w:hAnsi="Arial" w:cs="Arial"/>
          <w:noProof/>
          <w:sz w:val="20"/>
          <w:szCs w:val="20"/>
        </w:rPr>
        <w:t xml:space="preserve">u’elles sont également présentes </w:t>
      </w:r>
      <w:r w:rsidR="00E31020" w:rsidRPr="00367C86">
        <w:rPr>
          <w:rFonts w:ascii="Arial" w:eastAsiaTheme="minorHAnsi" w:hAnsi="Arial" w:cs="Arial"/>
          <w:noProof/>
          <w:sz w:val="20"/>
          <w:szCs w:val="20"/>
        </w:rPr>
        <w:t>dans notre environnement électromagnétique</w:t>
      </w:r>
      <w:r w:rsidR="007D6D74" w:rsidRPr="00367C86">
        <w:rPr>
          <w:rFonts w:ascii="Arial" w:eastAsiaTheme="minorHAnsi" w:hAnsi="Arial" w:cs="Arial"/>
          <w:noProof/>
          <w:sz w:val="20"/>
          <w:szCs w:val="20"/>
        </w:rPr>
        <w:t>, contribuant à l’électrosmog.</w:t>
      </w:r>
    </w:p>
    <w:p w:rsidR="00EA5F89" w:rsidRPr="00367C86" w:rsidRDefault="00EA5F89" w:rsidP="00367C86">
      <w:pPr>
        <w:pStyle w:val="NormalWeb"/>
        <w:jc w:val="both"/>
        <w:rPr>
          <w:rFonts w:ascii="Arial" w:eastAsiaTheme="minorHAnsi" w:hAnsi="Arial" w:cs="Arial"/>
          <w:noProof/>
          <w:sz w:val="20"/>
          <w:szCs w:val="20"/>
        </w:rPr>
      </w:pPr>
      <w:r w:rsidRPr="00367C86">
        <w:rPr>
          <w:rFonts w:ascii="Arial" w:eastAsiaTheme="minorHAnsi" w:hAnsi="Arial" w:cs="Arial"/>
          <w:noProof/>
          <w:sz w:val="20"/>
          <w:szCs w:val="20"/>
        </w:rPr>
        <w:lastRenderedPageBreak/>
        <w:t xml:space="preserve">Nous aurions </w:t>
      </w:r>
      <w:r w:rsidR="00F1400C" w:rsidRPr="00367C86">
        <w:rPr>
          <w:rFonts w:ascii="Arial" w:eastAsiaTheme="minorHAnsi" w:hAnsi="Arial" w:cs="Arial"/>
          <w:noProof/>
          <w:sz w:val="20"/>
          <w:szCs w:val="20"/>
        </w:rPr>
        <w:t xml:space="preserve">par ailleurs </w:t>
      </w:r>
      <w:r w:rsidRPr="00367C86">
        <w:rPr>
          <w:rFonts w:ascii="Arial" w:eastAsiaTheme="minorHAnsi" w:hAnsi="Arial" w:cs="Arial"/>
          <w:noProof/>
          <w:sz w:val="20"/>
          <w:szCs w:val="20"/>
        </w:rPr>
        <w:t>souhaité présenter</w:t>
      </w:r>
      <w:r w:rsidR="00105304" w:rsidRPr="00367C86">
        <w:rPr>
          <w:rFonts w:ascii="Arial" w:eastAsiaTheme="minorHAnsi" w:hAnsi="Arial" w:cs="Arial"/>
          <w:noProof/>
          <w:sz w:val="20"/>
          <w:szCs w:val="20"/>
        </w:rPr>
        <w:t xml:space="preserve"> un schéma d’exposition sous forme d’image et avons pour ce faire sollicité un générateur d’images Chatgpt. Lui-même s’y est perdu, malgré mes indications précises, </w:t>
      </w:r>
      <w:r w:rsidR="00F1400C" w:rsidRPr="00367C86">
        <w:rPr>
          <w:rFonts w:ascii="Arial" w:eastAsiaTheme="minorHAnsi" w:hAnsi="Arial" w:cs="Arial"/>
          <w:noProof/>
          <w:sz w:val="20"/>
          <w:szCs w:val="20"/>
        </w:rPr>
        <w:t>mais est parvenu à illustrer, malgré les erreurs, ces idées-clefs : un cocktail de fréquences générant l’exposition de tous dès la vie intra-utérine, partout, tout le temps (exposition chronique et répétée), en tous lieux (voir deux images en annexe 4).</w:t>
      </w:r>
    </w:p>
    <w:p w:rsidR="00E31020" w:rsidRPr="00367C86" w:rsidRDefault="00E31020" w:rsidP="00367C86">
      <w:pPr>
        <w:pStyle w:val="NormalWeb"/>
        <w:jc w:val="both"/>
        <w:rPr>
          <w:rFonts w:ascii="Arial" w:eastAsiaTheme="minorHAnsi" w:hAnsi="Arial" w:cs="Arial"/>
          <w:noProof/>
          <w:sz w:val="20"/>
          <w:szCs w:val="20"/>
        </w:rPr>
      </w:pPr>
      <w:r w:rsidRPr="00367C86">
        <w:rPr>
          <w:rFonts w:ascii="Arial" w:eastAsiaTheme="minorHAnsi" w:hAnsi="Arial" w:cs="Arial"/>
          <w:noProof/>
          <w:sz w:val="20"/>
          <w:szCs w:val="20"/>
        </w:rPr>
        <w:t xml:space="preserve">Ces images et cette liste sont à rapprocher de visuels simplifiés </w:t>
      </w:r>
      <w:r w:rsidR="00BC270B" w:rsidRPr="00367C86">
        <w:rPr>
          <w:rFonts w:ascii="Arial" w:eastAsiaTheme="minorHAnsi" w:hAnsi="Arial" w:cs="Arial"/>
          <w:noProof/>
          <w:sz w:val="20"/>
          <w:szCs w:val="20"/>
        </w:rPr>
        <w:t xml:space="preserve">parfois </w:t>
      </w:r>
      <w:r w:rsidRPr="00367C86">
        <w:rPr>
          <w:rFonts w:ascii="Arial" w:eastAsiaTheme="minorHAnsi" w:hAnsi="Arial" w:cs="Arial"/>
          <w:noProof/>
          <w:sz w:val="20"/>
          <w:szCs w:val="20"/>
        </w:rPr>
        <w:t>moins à même d’évoquer la multiplicité et la complexité du sujet (cf. Annexe 5).</w:t>
      </w:r>
    </w:p>
    <w:p w:rsidR="00BC270B" w:rsidRPr="00367C86" w:rsidRDefault="00BC270B" w:rsidP="00367C86">
      <w:pPr>
        <w:pStyle w:val="NormalWeb"/>
        <w:jc w:val="both"/>
        <w:rPr>
          <w:rFonts w:ascii="Arial" w:eastAsiaTheme="minorHAnsi" w:hAnsi="Arial" w:cs="Arial"/>
          <w:noProof/>
          <w:sz w:val="20"/>
          <w:szCs w:val="20"/>
        </w:rPr>
      </w:pPr>
      <w:r w:rsidRPr="00367C86">
        <w:rPr>
          <w:rFonts w:ascii="Arial" w:eastAsiaTheme="minorHAnsi" w:hAnsi="Arial" w:cs="Arial"/>
          <w:noProof/>
          <w:sz w:val="20"/>
          <w:szCs w:val="20"/>
        </w:rPr>
        <w:t>A la multiplicité des fréquences et de leurs applications, il nous faut ajouter que concernant les e</w:t>
      </w:r>
      <w:r w:rsidR="007C6E2F" w:rsidRPr="00367C86">
        <w:rPr>
          <w:rFonts w:ascii="Arial" w:eastAsiaTheme="minorHAnsi" w:hAnsi="Arial" w:cs="Arial"/>
          <w:noProof/>
          <w:sz w:val="20"/>
          <w:szCs w:val="20"/>
        </w:rPr>
        <w:t xml:space="preserve">xpositions subies (c’est-à-dire </w:t>
      </w:r>
      <w:r w:rsidRPr="00367C86">
        <w:rPr>
          <w:rFonts w:ascii="Arial" w:eastAsiaTheme="minorHAnsi" w:hAnsi="Arial" w:cs="Arial"/>
          <w:noProof/>
          <w:sz w:val="20"/>
          <w:szCs w:val="20"/>
        </w:rPr>
        <w:t>non-choisies, provenant de notre environnement</w:t>
      </w:r>
      <w:r w:rsidR="006842B1" w:rsidRPr="00367C86">
        <w:rPr>
          <w:rFonts w:ascii="Arial" w:eastAsiaTheme="minorHAnsi" w:hAnsi="Arial" w:cs="Arial"/>
          <w:noProof/>
          <w:sz w:val="20"/>
          <w:szCs w:val="20"/>
        </w:rPr>
        <w:t xml:space="preserve"> et non directement de nos usages propres) il existe une diversité de situations d’</w:t>
      </w:r>
      <w:r w:rsidRPr="00367C86">
        <w:rPr>
          <w:rFonts w:ascii="Arial" w:eastAsiaTheme="minorHAnsi" w:hAnsi="Arial" w:cs="Arial"/>
          <w:noProof/>
          <w:sz w:val="20"/>
          <w:szCs w:val="20"/>
        </w:rPr>
        <w:t>expositions </w:t>
      </w:r>
      <w:r w:rsidR="006842B1" w:rsidRPr="00367C86">
        <w:rPr>
          <w:rFonts w:ascii="Arial" w:eastAsiaTheme="minorHAnsi" w:hAnsi="Arial" w:cs="Arial"/>
          <w:noProof/>
          <w:sz w:val="20"/>
          <w:szCs w:val="20"/>
        </w:rPr>
        <w:t xml:space="preserve">individuelles </w:t>
      </w:r>
      <w:r w:rsidRPr="00367C86">
        <w:rPr>
          <w:rFonts w:ascii="Arial" w:eastAsiaTheme="minorHAnsi" w:hAnsi="Arial" w:cs="Arial"/>
          <w:noProof/>
          <w:sz w:val="20"/>
          <w:szCs w:val="20"/>
        </w:rPr>
        <w:t>: en fonction du type de logement – immeuble collectif vs pavillon – ou de sa localisation (zone plus ou moins dense</w:t>
      </w:r>
      <w:r w:rsidR="006842B1" w:rsidRPr="00367C86">
        <w:rPr>
          <w:rFonts w:ascii="Arial" w:eastAsiaTheme="minorHAnsi" w:hAnsi="Arial" w:cs="Arial"/>
          <w:noProof/>
          <w:sz w:val="20"/>
          <w:szCs w:val="20"/>
        </w:rPr>
        <w:t>, milieu urbain, milieu rural</w:t>
      </w:r>
      <w:r w:rsidRPr="00367C86">
        <w:rPr>
          <w:rFonts w:ascii="Arial" w:eastAsiaTheme="minorHAnsi" w:hAnsi="Arial" w:cs="Arial"/>
          <w:noProof/>
          <w:sz w:val="20"/>
          <w:szCs w:val="20"/>
        </w:rPr>
        <w:t>), par exemple (cf. Annexes 6 à 8).</w:t>
      </w:r>
    </w:p>
    <w:p w:rsidR="00EA5F89" w:rsidRPr="00367C86" w:rsidRDefault="006101FD" w:rsidP="00367C86">
      <w:pPr>
        <w:pStyle w:val="NormalWeb"/>
        <w:jc w:val="both"/>
        <w:rPr>
          <w:rFonts w:ascii="Arial" w:eastAsiaTheme="minorHAnsi" w:hAnsi="Arial" w:cs="Arial"/>
          <w:noProof/>
          <w:sz w:val="20"/>
          <w:szCs w:val="20"/>
        </w:rPr>
      </w:pPr>
      <w:r w:rsidRPr="00367C86">
        <w:rPr>
          <w:rFonts w:ascii="Arial" w:eastAsiaTheme="minorHAnsi" w:hAnsi="Arial" w:cs="Arial"/>
          <w:noProof/>
          <w:sz w:val="20"/>
          <w:szCs w:val="20"/>
        </w:rPr>
        <w:t>Revenant à notre liste d’exposition, une précision : on pourrait en déduire que les fours à micro-ondes relèvent de la même technologie que les télécommunications sans fil, ces app</w:t>
      </w:r>
      <w:r w:rsidR="00F82636" w:rsidRPr="00367C86">
        <w:rPr>
          <w:rFonts w:ascii="Arial" w:eastAsiaTheme="minorHAnsi" w:hAnsi="Arial" w:cs="Arial"/>
          <w:noProof/>
          <w:sz w:val="20"/>
          <w:szCs w:val="20"/>
        </w:rPr>
        <w:t>a</w:t>
      </w:r>
      <w:r w:rsidRPr="00367C86">
        <w:rPr>
          <w:rFonts w:ascii="Arial" w:eastAsiaTheme="minorHAnsi" w:hAnsi="Arial" w:cs="Arial"/>
          <w:noProof/>
          <w:sz w:val="20"/>
          <w:szCs w:val="20"/>
        </w:rPr>
        <w:t>reils fonctionnant également avec des hyperfréquences, or ce n’est pas le cas, leurs émissions présentant une différence de nature fondamentale.</w:t>
      </w:r>
    </w:p>
    <w:p w:rsidR="006101FD" w:rsidRPr="00367C86" w:rsidRDefault="003646C2" w:rsidP="009F3BB0">
      <w:pPr>
        <w:pStyle w:val="NormalWeb"/>
        <w:numPr>
          <w:ilvl w:val="0"/>
          <w:numId w:val="5"/>
        </w:numPr>
        <w:jc w:val="both"/>
        <w:rPr>
          <w:rFonts w:ascii="Arial" w:eastAsiaTheme="minorHAnsi" w:hAnsi="Arial" w:cs="Arial"/>
          <w:noProof/>
          <w:sz w:val="20"/>
          <w:szCs w:val="20"/>
          <w:u w:val="single"/>
        </w:rPr>
      </w:pPr>
      <w:r w:rsidRPr="00367C86">
        <w:rPr>
          <w:rFonts w:ascii="Arial" w:eastAsiaTheme="minorHAnsi" w:hAnsi="Arial" w:cs="Arial"/>
          <w:noProof/>
          <w:sz w:val="20"/>
          <w:szCs w:val="20"/>
          <w:u w:val="single"/>
        </w:rPr>
        <w:t xml:space="preserve">Technologies de communication </w:t>
      </w:r>
      <w:r w:rsidR="006101FD" w:rsidRPr="00367C86">
        <w:rPr>
          <w:rFonts w:ascii="Arial" w:eastAsiaTheme="minorHAnsi" w:hAnsi="Arial" w:cs="Arial"/>
          <w:noProof/>
          <w:sz w:val="20"/>
          <w:szCs w:val="20"/>
          <w:u w:val="single"/>
        </w:rPr>
        <w:t>sans fil et fours à micro-ondes :</w:t>
      </w:r>
      <w:r w:rsidRPr="00367C86">
        <w:rPr>
          <w:rFonts w:ascii="Arial" w:eastAsiaTheme="minorHAnsi" w:hAnsi="Arial" w:cs="Arial"/>
          <w:noProof/>
          <w:sz w:val="20"/>
          <w:szCs w:val="20"/>
          <w:u w:val="single"/>
        </w:rPr>
        <w:t xml:space="preserve"> l’information fait la différence</w:t>
      </w:r>
    </w:p>
    <w:p w:rsidR="006B6760" w:rsidRPr="00367C86" w:rsidRDefault="003F547F" w:rsidP="009F3BB0">
      <w:pPr>
        <w:pStyle w:val="NormalWeb"/>
        <w:numPr>
          <w:ilvl w:val="0"/>
          <w:numId w:val="6"/>
        </w:numPr>
        <w:jc w:val="both"/>
        <w:rPr>
          <w:rFonts w:ascii="Arial" w:hAnsi="Arial" w:cs="Arial"/>
          <w:sz w:val="20"/>
          <w:szCs w:val="20"/>
        </w:rPr>
      </w:pPr>
      <w:r w:rsidRPr="00367C86">
        <w:rPr>
          <w:rFonts w:ascii="Arial" w:eastAsiaTheme="minorHAnsi" w:hAnsi="Arial" w:cs="Arial"/>
          <w:noProof/>
          <w:sz w:val="20"/>
          <w:szCs w:val="20"/>
        </w:rPr>
        <w:t>Hyperfréquence p</w:t>
      </w:r>
      <w:r w:rsidR="006B6760" w:rsidRPr="00367C86">
        <w:rPr>
          <w:rFonts w:ascii="Arial" w:eastAsiaTheme="minorHAnsi" w:hAnsi="Arial" w:cs="Arial"/>
          <w:noProof/>
          <w:sz w:val="20"/>
          <w:szCs w:val="20"/>
        </w:rPr>
        <w:t>orteuse d’information / pas porteuse d’information</w:t>
      </w:r>
    </w:p>
    <w:p w:rsidR="00F057E1" w:rsidRPr="00367C86" w:rsidRDefault="00F057E1" w:rsidP="00367C86">
      <w:pPr>
        <w:pStyle w:val="NormalWeb"/>
        <w:jc w:val="both"/>
        <w:rPr>
          <w:rFonts w:ascii="Arial" w:hAnsi="Arial" w:cs="Arial"/>
          <w:sz w:val="20"/>
          <w:szCs w:val="20"/>
        </w:rPr>
      </w:pPr>
      <w:r w:rsidRPr="00367C86">
        <w:rPr>
          <w:rFonts w:ascii="Arial" w:eastAsiaTheme="minorHAnsi" w:hAnsi="Arial" w:cs="Arial"/>
          <w:noProof/>
          <w:sz w:val="20"/>
          <w:szCs w:val="20"/>
        </w:rPr>
        <w:t>L</w:t>
      </w:r>
      <w:r w:rsidR="00B4066B" w:rsidRPr="00367C86">
        <w:rPr>
          <w:rFonts w:ascii="Arial" w:eastAsiaTheme="minorHAnsi" w:hAnsi="Arial" w:cs="Arial"/>
          <w:noProof/>
          <w:sz w:val="20"/>
          <w:szCs w:val="20"/>
        </w:rPr>
        <w:t>e four à micro-onde</w:t>
      </w:r>
      <w:r w:rsidR="00517672" w:rsidRPr="00367C86">
        <w:rPr>
          <w:rFonts w:ascii="Arial" w:eastAsiaTheme="minorHAnsi" w:hAnsi="Arial" w:cs="Arial"/>
          <w:noProof/>
          <w:sz w:val="20"/>
          <w:szCs w:val="20"/>
        </w:rPr>
        <w:t xml:space="preserve">s, ainsi que son nom l’indique, </w:t>
      </w:r>
      <w:r w:rsidR="00B4066B" w:rsidRPr="00367C86">
        <w:rPr>
          <w:rFonts w:ascii="Arial" w:eastAsiaTheme="minorHAnsi" w:hAnsi="Arial" w:cs="Arial"/>
          <w:noProof/>
          <w:sz w:val="20"/>
          <w:szCs w:val="20"/>
        </w:rPr>
        <w:t>fonctionne grâce à des micro-ondes ou hyperfréquences. Peut-on pour autant prétendre qu’il s’agit de la même technologie que celle employée par les t</w:t>
      </w:r>
      <w:r w:rsidRPr="00367C86">
        <w:rPr>
          <w:rFonts w:ascii="Arial" w:eastAsiaTheme="minorHAnsi" w:hAnsi="Arial" w:cs="Arial"/>
          <w:noProof/>
          <w:sz w:val="20"/>
          <w:szCs w:val="20"/>
        </w:rPr>
        <w:t>echn</w:t>
      </w:r>
      <w:r w:rsidR="00B4066B" w:rsidRPr="00367C86">
        <w:rPr>
          <w:rFonts w:ascii="Arial" w:eastAsiaTheme="minorHAnsi" w:hAnsi="Arial" w:cs="Arial"/>
          <w:noProof/>
          <w:sz w:val="20"/>
          <w:szCs w:val="20"/>
        </w:rPr>
        <w:t>ologies sans fil ? Non.</w:t>
      </w:r>
    </w:p>
    <w:p w:rsidR="006B6760" w:rsidRPr="00367C86" w:rsidRDefault="00B4066B" w:rsidP="00367C86">
      <w:pPr>
        <w:pStyle w:val="NormalWeb"/>
        <w:jc w:val="both"/>
        <w:rPr>
          <w:rFonts w:ascii="Arial" w:hAnsi="Arial" w:cs="Arial"/>
          <w:sz w:val="20"/>
          <w:szCs w:val="20"/>
        </w:rPr>
      </w:pPr>
      <w:r w:rsidRPr="00367C86">
        <w:rPr>
          <w:rFonts w:ascii="Arial" w:eastAsiaTheme="minorHAnsi" w:hAnsi="Arial" w:cs="Arial"/>
          <w:noProof/>
          <w:sz w:val="20"/>
          <w:szCs w:val="20"/>
        </w:rPr>
        <w:t>En effet, l</w:t>
      </w:r>
      <w:r w:rsidR="006101FD" w:rsidRPr="00367C86">
        <w:rPr>
          <w:rFonts w:ascii="Arial" w:hAnsi="Arial" w:cs="Arial"/>
          <w:sz w:val="20"/>
          <w:szCs w:val="20"/>
        </w:rPr>
        <w:t>es ondes électromagné</w:t>
      </w:r>
      <w:r w:rsidRPr="00367C86">
        <w:rPr>
          <w:rFonts w:ascii="Arial" w:hAnsi="Arial" w:cs="Arial"/>
          <w:sz w:val="20"/>
          <w:szCs w:val="20"/>
        </w:rPr>
        <w:t xml:space="preserve">tiques d’un four à micro-ondes </w:t>
      </w:r>
      <w:r w:rsidR="006B6760" w:rsidRPr="00367C86">
        <w:rPr>
          <w:rFonts w:ascii="Arial" w:hAnsi="Arial" w:cs="Arial"/>
          <w:sz w:val="20"/>
          <w:szCs w:val="20"/>
        </w:rPr>
        <w:t xml:space="preserve">sont émises à une fréquence constante </w:t>
      </w:r>
      <w:r w:rsidRPr="00367C86">
        <w:rPr>
          <w:rFonts w:ascii="Arial" w:hAnsi="Arial" w:cs="Arial"/>
          <w:sz w:val="20"/>
          <w:szCs w:val="20"/>
        </w:rPr>
        <w:t xml:space="preserve">(2.45 GHz) </w:t>
      </w:r>
      <w:r w:rsidR="006B6760" w:rsidRPr="00367C86">
        <w:rPr>
          <w:rFonts w:ascii="Arial" w:hAnsi="Arial" w:cs="Arial"/>
          <w:sz w:val="20"/>
          <w:szCs w:val="20"/>
        </w:rPr>
        <w:t>pour exciter les molécules d’eau dans les aliments et générer de la chaleur par agitation moléculaire (effet thermique</w:t>
      </w:r>
      <w:r w:rsidR="003F547F" w:rsidRPr="00367C86">
        <w:rPr>
          <w:rStyle w:val="Appelnotedebasdep"/>
          <w:rFonts w:ascii="Arial" w:hAnsi="Arial" w:cs="Arial"/>
          <w:sz w:val="20"/>
          <w:szCs w:val="20"/>
        </w:rPr>
        <w:footnoteReference w:id="15"/>
      </w:r>
      <w:r w:rsidR="006B6760" w:rsidRPr="00367C86">
        <w:rPr>
          <w:rFonts w:ascii="Arial" w:hAnsi="Arial" w:cs="Arial"/>
          <w:sz w:val="20"/>
          <w:szCs w:val="20"/>
        </w:rPr>
        <w:t xml:space="preserve">) mais elles </w:t>
      </w:r>
      <w:r w:rsidR="006101FD" w:rsidRPr="00367C86">
        <w:rPr>
          <w:rFonts w:ascii="Arial" w:hAnsi="Arial" w:cs="Arial"/>
          <w:sz w:val="20"/>
          <w:szCs w:val="20"/>
        </w:rPr>
        <w:t>ne sont pas modulées par un signal contenant une</w:t>
      </w:r>
      <w:r w:rsidR="006B6760" w:rsidRPr="00367C86">
        <w:rPr>
          <w:rFonts w:ascii="Arial" w:hAnsi="Arial" w:cs="Arial"/>
          <w:sz w:val="20"/>
          <w:szCs w:val="20"/>
        </w:rPr>
        <w:t xml:space="preserve"> information ou une data. </w:t>
      </w:r>
    </w:p>
    <w:p w:rsidR="006101FD" w:rsidRPr="00367C86" w:rsidRDefault="003646C2" w:rsidP="00367C86">
      <w:pPr>
        <w:pStyle w:val="NormalWeb"/>
        <w:jc w:val="both"/>
        <w:rPr>
          <w:rFonts w:ascii="Arial" w:hAnsi="Arial" w:cs="Arial"/>
          <w:sz w:val="20"/>
          <w:szCs w:val="20"/>
        </w:rPr>
      </w:pPr>
      <w:r w:rsidRPr="00367C86">
        <w:rPr>
          <w:rFonts w:ascii="Arial" w:hAnsi="Arial" w:cs="Arial"/>
          <w:sz w:val="20"/>
          <w:szCs w:val="20"/>
        </w:rPr>
        <w:t>Les</w:t>
      </w:r>
      <w:r w:rsidR="006B6760" w:rsidRPr="00367C86">
        <w:rPr>
          <w:rFonts w:ascii="Arial" w:hAnsi="Arial" w:cs="Arial"/>
          <w:sz w:val="20"/>
          <w:szCs w:val="20"/>
        </w:rPr>
        <w:t xml:space="preserve"> </w:t>
      </w:r>
      <w:r w:rsidR="006101FD" w:rsidRPr="00367C86">
        <w:rPr>
          <w:rFonts w:ascii="Arial" w:hAnsi="Arial" w:cs="Arial"/>
          <w:sz w:val="20"/>
          <w:szCs w:val="20"/>
        </w:rPr>
        <w:t xml:space="preserve">NTIC (nouvelles technologies de l’information et de la communication), ainsi qu’elles ont été nommées à leurs débuts, </w:t>
      </w:r>
      <w:r w:rsidR="006B6760" w:rsidRPr="00367C86">
        <w:rPr>
          <w:rFonts w:ascii="Arial" w:hAnsi="Arial" w:cs="Arial"/>
          <w:sz w:val="20"/>
          <w:szCs w:val="20"/>
        </w:rPr>
        <w:t xml:space="preserve">font </w:t>
      </w:r>
      <w:r w:rsidRPr="00367C86">
        <w:rPr>
          <w:rFonts w:ascii="Arial" w:hAnsi="Arial" w:cs="Arial"/>
          <w:sz w:val="20"/>
          <w:szCs w:val="20"/>
        </w:rPr>
        <w:t xml:space="preserve">quant à elles </w:t>
      </w:r>
      <w:r w:rsidR="006B6760" w:rsidRPr="00367C86">
        <w:rPr>
          <w:rFonts w:ascii="Arial" w:hAnsi="Arial" w:cs="Arial"/>
          <w:sz w:val="20"/>
          <w:szCs w:val="20"/>
        </w:rPr>
        <w:t xml:space="preserve">moduler une onde porteuse </w:t>
      </w:r>
      <w:r w:rsidR="00B4066B" w:rsidRPr="00367C86">
        <w:rPr>
          <w:rFonts w:ascii="Arial" w:hAnsi="Arial" w:cs="Arial"/>
          <w:sz w:val="20"/>
          <w:szCs w:val="20"/>
        </w:rPr>
        <w:t>d’hyperfréquence</w:t>
      </w:r>
      <w:r w:rsidR="006B6760" w:rsidRPr="00367C86">
        <w:rPr>
          <w:rFonts w:ascii="Arial" w:hAnsi="Arial" w:cs="Arial"/>
          <w:sz w:val="20"/>
          <w:szCs w:val="20"/>
        </w:rPr>
        <w:t xml:space="preserve"> par un signal d’infomation qu’</w:t>
      </w:r>
      <w:r w:rsidRPr="00367C86">
        <w:rPr>
          <w:rFonts w:ascii="Arial" w:hAnsi="Arial" w:cs="Arial"/>
          <w:sz w:val="20"/>
          <w:szCs w:val="20"/>
        </w:rPr>
        <w:t>elle transporte, nous l’avons vu plus haut,</w:t>
      </w:r>
    </w:p>
    <w:p w:rsidR="006B6760" w:rsidRPr="00367C86" w:rsidRDefault="00B4066B" w:rsidP="00367C86">
      <w:pPr>
        <w:pStyle w:val="NormalWeb"/>
        <w:jc w:val="both"/>
        <w:rPr>
          <w:rFonts w:ascii="Arial" w:hAnsi="Arial" w:cs="Arial"/>
          <w:sz w:val="20"/>
          <w:szCs w:val="20"/>
        </w:rPr>
      </w:pPr>
      <w:r w:rsidRPr="00367C86">
        <w:rPr>
          <w:rFonts w:ascii="Arial" w:hAnsi="Arial" w:cs="Arial"/>
          <w:sz w:val="20"/>
          <w:szCs w:val="20"/>
        </w:rPr>
        <w:t xml:space="preserve">Or </w:t>
      </w:r>
      <w:r w:rsidR="0018182E" w:rsidRPr="00367C86">
        <w:rPr>
          <w:rFonts w:ascii="Arial" w:hAnsi="Arial" w:cs="Arial"/>
          <w:sz w:val="20"/>
          <w:szCs w:val="20"/>
        </w:rPr>
        <w:t>la nature de ce</w:t>
      </w:r>
      <w:r w:rsidR="006B6760" w:rsidRPr="00367C86">
        <w:rPr>
          <w:rFonts w:ascii="Arial" w:hAnsi="Arial" w:cs="Arial"/>
          <w:sz w:val="20"/>
          <w:szCs w:val="20"/>
        </w:rPr>
        <w:t xml:space="preserve"> signal </w:t>
      </w:r>
      <w:r w:rsidRPr="00367C86">
        <w:rPr>
          <w:rFonts w:ascii="Arial" w:hAnsi="Arial" w:cs="Arial"/>
          <w:sz w:val="20"/>
          <w:szCs w:val="20"/>
        </w:rPr>
        <w:t xml:space="preserve">et son traitement </w:t>
      </w:r>
      <w:r w:rsidR="0018182E" w:rsidRPr="00367C86">
        <w:rPr>
          <w:rFonts w:ascii="Arial" w:hAnsi="Arial" w:cs="Arial"/>
          <w:sz w:val="20"/>
          <w:szCs w:val="20"/>
        </w:rPr>
        <w:t>doi</w:t>
      </w:r>
      <w:r w:rsidRPr="00367C86">
        <w:rPr>
          <w:rFonts w:ascii="Arial" w:hAnsi="Arial" w:cs="Arial"/>
          <w:sz w:val="20"/>
          <w:szCs w:val="20"/>
        </w:rPr>
        <w:t>vent également être pris</w:t>
      </w:r>
      <w:r w:rsidR="0018182E" w:rsidRPr="00367C86">
        <w:rPr>
          <w:rFonts w:ascii="Arial" w:hAnsi="Arial" w:cs="Arial"/>
          <w:sz w:val="20"/>
          <w:szCs w:val="20"/>
        </w:rPr>
        <w:t xml:space="preserve"> en compte</w:t>
      </w:r>
      <w:r w:rsidRPr="00367C86">
        <w:rPr>
          <w:rFonts w:ascii="Arial" w:hAnsi="Arial" w:cs="Arial"/>
          <w:sz w:val="20"/>
          <w:szCs w:val="20"/>
        </w:rPr>
        <w:t xml:space="preserve"> en tant que p</w:t>
      </w:r>
      <w:r w:rsidR="006D235F" w:rsidRPr="00367C86">
        <w:rPr>
          <w:rFonts w:ascii="Arial" w:hAnsi="Arial" w:cs="Arial"/>
          <w:sz w:val="20"/>
          <w:szCs w:val="20"/>
        </w:rPr>
        <w:t>aramètres pour la recherche sur leurs portentiels effets biologiques.</w:t>
      </w:r>
      <w:r w:rsidRPr="00367C86">
        <w:rPr>
          <w:rFonts w:ascii="Arial" w:hAnsi="Arial" w:cs="Arial"/>
          <w:sz w:val="20"/>
          <w:szCs w:val="20"/>
        </w:rPr>
        <w:t>.</w:t>
      </w:r>
      <w:r w:rsidR="006B6760" w:rsidRPr="00367C86">
        <w:rPr>
          <w:rFonts w:ascii="Arial" w:hAnsi="Arial" w:cs="Arial"/>
          <w:sz w:val="20"/>
          <w:szCs w:val="20"/>
        </w:rPr>
        <w:t xml:space="preserve"> </w:t>
      </w:r>
    </w:p>
    <w:p w:rsidR="00B4066B" w:rsidRPr="00367C86" w:rsidRDefault="009F42EB" w:rsidP="009F3BB0">
      <w:pPr>
        <w:pStyle w:val="NormalWeb"/>
        <w:numPr>
          <w:ilvl w:val="0"/>
          <w:numId w:val="6"/>
        </w:numPr>
        <w:jc w:val="both"/>
        <w:rPr>
          <w:rFonts w:ascii="Arial" w:hAnsi="Arial" w:cs="Arial"/>
          <w:sz w:val="20"/>
          <w:szCs w:val="20"/>
        </w:rPr>
      </w:pPr>
      <w:r w:rsidRPr="00367C86">
        <w:rPr>
          <w:rFonts w:ascii="Arial" w:hAnsi="Arial" w:cs="Arial"/>
          <w:sz w:val="20"/>
          <w:szCs w:val="20"/>
        </w:rPr>
        <w:t>Une complexité nécessitant une approche interdisciplinaire</w:t>
      </w:r>
      <w:r w:rsidR="00B4066B" w:rsidRPr="00367C86">
        <w:rPr>
          <w:rFonts w:ascii="Arial" w:hAnsi="Arial" w:cs="Arial"/>
          <w:sz w:val="20"/>
          <w:szCs w:val="20"/>
        </w:rPr>
        <w:t> :</w:t>
      </w:r>
    </w:p>
    <w:p w:rsidR="0018182E" w:rsidRPr="00367C86" w:rsidRDefault="001F2CF2" w:rsidP="009F3BB0">
      <w:pPr>
        <w:pStyle w:val="NormalWeb"/>
        <w:numPr>
          <w:ilvl w:val="0"/>
          <w:numId w:val="7"/>
        </w:numPr>
        <w:jc w:val="both"/>
        <w:rPr>
          <w:rFonts w:ascii="Arial" w:hAnsi="Arial" w:cs="Arial"/>
          <w:sz w:val="20"/>
          <w:szCs w:val="20"/>
        </w:rPr>
      </w:pPr>
      <w:r w:rsidRPr="00367C86">
        <w:rPr>
          <w:rFonts w:ascii="Arial" w:hAnsi="Arial" w:cs="Arial"/>
          <w:sz w:val="20"/>
          <w:szCs w:val="20"/>
        </w:rPr>
        <w:t>Modulation du signal</w:t>
      </w:r>
      <w:r w:rsidR="00F82636" w:rsidRPr="00367C86">
        <w:rPr>
          <w:rFonts w:ascii="Arial" w:hAnsi="Arial" w:cs="Arial"/>
          <w:sz w:val="20"/>
          <w:szCs w:val="20"/>
        </w:rPr>
        <w:t xml:space="preserve"> : </w:t>
      </w:r>
    </w:p>
    <w:p w:rsidR="0018182E" w:rsidRPr="00367C86" w:rsidRDefault="002C3AB4" w:rsidP="00367C86">
      <w:pPr>
        <w:pStyle w:val="NormalWeb"/>
        <w:jc w:val="both"/>
        <w:rPr>
          <w:rFonts w:ascii="Arial" w:hAnsi="Arial" w:cs="Arial"/>
          <w:sz w:val="20"/>
          <w:szCs w:val="20"/>
        </w:rPr>
      </w:pPr>
      <w:r w:rsidRPr="00367C86">
        <w:rPr>
          <w:rFonts w:ascii="Arial" w:hAnsi="Arial" w:cs="Arial"/>
          <w:sz w:val="20"/>
          <w:szCs w:val="20"/>
        </w:rPr>
        <w:t>Nous l’</w:t>
      </w:r>
      <w:r w:rsidR="00037F87" w:rsidRPr="00367C86">
        <w:rPr>
          <w:rFonts w:ascii="Arial" w:hAnsi="Arial" w:cs="Arial"/>
          <w:sz w:val="20"/>
          <w:szCs w:val="20"/>
        </w:rPr>
        <w:t>avons vu, une ond</w:t>
      </w:r>
      <w:r w:rsidR="00B4066B" w:rsidRPr="00367C86">
        <w:rPr>
          <w:rFonts w:ascii="Arial" w:hAnsi="Arial" w:cs="Arial"/>
          <w:sz w:val="20"/>
          <w:szCs w:val="20"/>
        </w:rPr>
        <w:t>e d’hyperfréquence</w:t>
      </w:r>
      <w:r w:rsidR="00037F87" w:rsidRPr="00367C86">
        <w:rPr>
          <w:rFonts w:ascii="Arial" w:hAnsi="Arial" w:cs="Arial"/>
          <w:sz w:val="20"/>
          <w:szCs w:val="20"/>
        </w:rPr>
        <w:t>, dans le cadre des télécommunications sans fil, est modulée par un sign</w:t>
      </w:r>
      <w:r w:rsidR="005973A8" w:rsidRPr="00367C86">
        <w:rPr>
          <w:rFonts w:ascii="Arial" w:hAnsi="Arial" w:cs="Arial"/>
          <w:sz w:val="20"/>
          <w:szCs w:val="20"/>
        </w:rPr>
        <w:t>al d’information qu’elle porte.</w:t>
      </w:r>
    </w:p>
    <w:p w:rsidR="002D1897" w:rsidRPr="00367C86" w:rsidRDefault="00F82636" w:rsidP="00367C86">
      <w:pPr>
        <w:pStyle w:val="NormalWeb"/>
        <w:jc w:val="both"/>
        <w:rPr>
          <w:rFonts w:ascii="Arial" w:hAnsi="Arial" w:cs="Arial"/>
          <w:sz w:val="20"/>
          <w:szCs w:val="20"/>
        </w:rPr>
      </w:pPr>
      <w:r w:rsidRPr="00367C86">
        <w:rPr>
          <w:rFonts w:ascii="Arial" w:hAnsi="Arial" w:cs="Arial"/>
          <w:sz w:val="20"/>
          <w:szCs w:val="20"/>
        </w:rPr>
        <w:t xml:space="preserve">Or </w:t>
      </w:r>
      <w:r w:rsidR="00037F87" w:rsidRPr="00367C86">
        <w:rPr>
          <w:rFonts w:ascii="Arial" w:hAnsi="Arial" w:cs="Arial"/>
          <w:sz w:val="20"/>
          <w:szCs w:val="20"/>
        </w:rPr>
        <w:t>l</w:t>
      </w:r>
      <w:r w:rsidR="00E12562" w:rsidRPr="00367C86">
        <w:rPr>
          <w:rFonts w:ascii="Arial" w:hAnsi="Arial" w:cs="Arial"/>
          <w:sz w:val="20"/>
          <w:szCs w:val="20"/>
        </w:rPr>
        <w:t>a façon dont ce signal est modulé</w:t>
      </w:r>
      <w:r w:rsidR="005973A8" w:rsidRPr="00367C86">
        <w:rPr>
          <w:rFonts w:ascii="Arial" w:hAnsi="Arial" w:cs="Arial"/>
          <w:sz w:val="20"/>
          <w:szCs w:val="20"/>
        </w:rPr>
        <w:t xml:space="preserve">, c'est-à-dire la façon dont est traitée l’onde </w:t>
      </w:r>
      <w:r w:rsidR="00517672" w:rsidRPr="00367C86">
        <w:rPr>
          <w:rFonts w:ascii="Arial" w:hAnsi="Arial" w:cs="Arial"/>
          <w:sz w:val="20"/>
          <w:szCs w:val="20"/>
        </w:rPr>
        <w:t>porteuse pour l’intégration du</w:t>
      </w:r>
      <w:r w:rsidR="005973A8" w:rsidRPr="00367C86">
        <w:rPr>
          <w:rFonts w:ascii="Arial" w:hAnsi="Arial" w:cs="Arial"/>
          <w:sz w:val="20"/>
          <w:szCs w:val="20"/>
        </w:rPr>
        <w:t xml:space="preserve"> signal informationnel,</w:t>
      </w:r>
      <w:r w:rsidR="00E12562" w:rsidRPr="00367C86">
        <w:rPr>
          <w:rFonts w:ascii="Arial" w:hAnsi="Arial" w:cs="Arial"/>
          <w:sz w:val="20"/>
          <w:szCs w:val="20"/>
        </w:rPr>
        <w:t xml:space="preserve"> constitue </w:t>
      </w:r>
      <w:r w:rsidR="00037F87" w:rsidRPr="00367C86">
        <w:rPr>
          <w:rFonts w:ascii="Arial" w:hAnsi="Arial" w:cs="Arial"/>
          <w:sz w:val="20"/>
          <w:szCs w:val="20"/>
        </w:rPr>
        <w:t>un</w:t>
      </w:r>
      <w:r w:rsidR="00037F87" w:rsidRPr="00367C86">
        <w:rPr>
          <w:rFonts w:ascii="Arial" w:hAnsi="Arial" w:cs="Arial"/>
          <w:b/>
          <w:sz w:val="20"/>
          <w:szCs w:val="20"/>
        </w:rPr>
        <w:t xml:space="preserve"> </w:t>
      </w:r>
      <w:r w:rsidR="00037F87" w:rsidRPr="00367C86">
        <w:rPr>
          <w:rStyle w:val="lev"/>
          <w:rFonts w:ascii="Arial" w:hAnsi="Arial" w:cs="Arial"/>
          <w:b w:val="0"/>
          <w:sz w:val="20"/>
          <w:szCs w:val="20"/>
        </w:rPr>
        <w:t>point central dans la recherche bioélectromagnétique</w:t>
      </w:r>
      <w:r w:rsidR="001255B7" w:rsidRPr="00367C86">
        <w:rPr>
          <w:rStyle w:val="Appelnotedebasdep"/>
          <w:rFonts w:ascii="Arial" w:hAnsi="Arial" w:cs="Arial"/>
          <w:bCs/>
          <w:sz w:val="20"/>
          <w:szCs w:val="20"/>
        </w:rPr>
        <w:footnoteReference w:id="16"/>
      </w:r>
      <w:r w:rsidR="00037F87" w:rsidRPr="00367C86">
        <w:rPr>
          <w:rStyle w:val="lev"/>
          <w:rFonts w:ascii="Arial" w:hAnsi="Arial" w:cs="Arial"/>
          <w:b w:val="0"/>
          <w:sz w:val="20"/>
          <w:szCs w:val="20"/>
        </w:rPr>
        <w:t> </w:t>
      </w:r>
      <w:r w:rsidR="00B4066B" w:rsidRPr="00367C86">
        <w:rPr>
          <w:rStyle w:val="lev"/>
          <w:rFonts w:ascii="Arial" w:hAnsi="Arial" w:cs="Arial"/>
          <w:b w:val="0"/>
          <w:sz w:val="20"/>
          <w:szCs w:val="20"/>
        </w:rPr>
        <w:t>car elle semble jouer un rôle dans les effets biologiques observés</w:t>
      </w:r>
      <w:r w:rsidRPr="00367C86">
        <w:rPr>
          <w:rStyle w:val="lev"/>
          <w:rFonts w:ascii="Arial" w:hAnsi="Arial" w:cs="Arial"/>
          <w:b w:val="0"/>
          <w:sz w:val="20"/>
          <w:szCs w:val="20"/>
        </w:rPr>
        <w:t xml:space="preserve"> : </w:t>
      </w:r>
      <w:r w:rsidR="009F42EB" w:rsidRPr="00367C86">
        <w:rPr>
          <w:rStyle w:val="lev"/>
          <w:rFonts w:ascii="Arial" w:hAnsi="Arial" w:cs="Arial"/>
          <w:b w:val="0"/>
          <w:sz w:val="20"/>
          <w:szCs w:val="20"/>
        </w:rPr>
        <w:t>selon qu’il est</w:t>
      </w:r>
      <w:r w:rsidR="00037F87" w:rsidRPr="00367C86">
        <w:rPr>
          <w:rFonts w:ascii="Arial" w:hAnsi="Arial" w:cs="Arial"/>
          <w:sz w:val="20"/>
          <w:szCs w:val="20"/>
        </w:rPr>
        <w:t xml:space="preserve"> découpé ou non-découpé</w:t>
      </w:r>
      <w:r w:rsidRPr="00367C86">
        <w:rPr>
          <w:rFonts w:ascii="Arial" w:hAnsi="Arial" w:cs="Arial"/>
          <w:sz w:val="20"/>
          <w:szCs w:val="20"/>
        </w:rPr>
        <w:t xml:space="preserve">, </w:t>
      </w:r>
      <w:r w:rsidR="006D235F" w:rsidRPr="00367C86">
        <w:rPr>
          <w:rFonts w:ascii="Arial" w:hAnsi="Arial" w:cs="Arial"/>
          <w:sz w:val="20"/>
          <w:szCs w:val="20"/>
        </w:rPr>
        <w:t xml:space="preserve">par exemple, </w:t>
      </w:r>
      <w:r w:rsidRPr="00367C86">
        <w:rPr>
          <w:rFonts w:ascii="Arial" w:hAnsi="Arial" w:cs="Arial"/>
          <w:sz w:val="20"/>
          <w:szCs w:val="20"/>
        </w:rPr>
        <w:t>les observations ne sont pas les mêmes</w:t>
      </w:r>
      <w:r w:rsidR="006D235F" w:rsidRPr="00367C86">
        <w:rPr>
          <w:rFonts w:ascii="Arial" w:hAnsi="Arial" w:cs="Arial"/>
          <w:sz w:val="20"/>
          <w:szCs w:val="20"/>
        </w:rPr>
        <w:t xml:space="preserve"> (Deng et al., 2024 ; I. Lagroye, 2009).</w:t>
      </w:r>
    </w:p>
    <w:p w:rsidR="00E70849" w:rsidRPr="00367C86" w:rsidRDefault="005973A8" w:rsidP="00367C86">
      <w:pPr>
        <w:pStyle w:val="NormalWeb"/>
        <w:jc w:val="both"/>
        <w:rPr>
          <w:rFonts w:ascii="Arial" w:hAnsi="Arial" w:cs="Arial"/>
          <w:sz w:val="20"/>
          <w:szCs w:val="20"/>
        </w:rPr>
      </w:pPr>
      <w:r w:rsidRPr="00367C86">
        <w:rPr>
          <w:rFonts w:ascii="Arial" w:hAnsi="Arial" w:cs="Arial"/>
          <w:sz w:val="20"/>
          <w:szCs w:val="20"/>
        </w:rPr>
        <w:lastRenderedPageBreak/>
        <w:t>Précisions concernant la n</w:t>
      </w:r>
      <w:r w:rsidR="00E70849" w:rsidRPr="00367C86">
        <w:rPr>
          <w:rFonts w:ascii="Arial" w:hAnsi="Arial" w:cs="Arial"/>
          <w:sz w:val="20"/>
          <w:szCs w:val="20"/>
        </w:rPr>
        <w:t>oti</w:t>
      </w:r>
      <w:r w:rsidRPr="00367C86">
        <w:rPr>
          <w:rFonts w:ascii="Arial" w:hAnsi="Arial" w:cs="Arial"/>
          <w:sz w:val="20"/>
          <w:szCs w:val="20"/>
        </w:rPr>
        <w:t xml:space="preserve">on de signal découpé vs signal </w:t>
      </w:r>
      <w:r w:rsidR="00E70849" w:rsidRPr="00367C86">
        <w:rPr>
          <w:rFonts w:ascii="Arial" w:hAnsi="Arial" w:cs="Arial"/>
          <w:sz w:val="20"/>
          <w:szCs w:val="20"/>
        </w:rPr>
        <w:t>non-découpé :</w:t>
      </w:r>
    </w:p>
    <w:p w:rsidR="00E70849" w:rsidRPr="00367C86" w:rsidRDefault="00874E31" w:rsidP="00367C86">
      <w:pPr>
        <w:pStyle w:val="NormalWeb"/>
        <w:jc w:val="both"/>
        <w:rPr>
          <w:rFonts w:ascii="Arial" w:hAnsi="Arial" w:cs="Arial"/>
          <w:sz w:val="20"/>
          <w:szCs w:val="20"/>
        </w:rPr>
      </w:pPr>
      <w:r w:rsidRPr="00367C86">
        <w:rPr>
          <w:rFonts w:ascii="Arial" w:hAnsi="Arial" w:cs="Arial"/>
          <w:sz w:val="20"/>
          <w:szCs w:val="20"/>
        </w:rPr>
        <w:t xml:space="preserve">Cette notion évoquée ci-dessus doit être clarifiée. En effet, elle peut être entendue de </w:t>
      </w:r>
      <w:r w:rsidR="007959FB" w:rsidRPr="00367C86">
        <w:rPr>
          <w:rFonts w:ascii="Arial" w:hAnsi="Arial" w:cs="Arial"/>
          <w:sz w:val="20"/>
          <w:szCs w:val="20"/>
        </w:rPr>
        <w:t xml:space="preserve">deux façons différentes et </w:t>
      </w:r>
      <w:r w:rsidRPr="00367C86">
        <w:rPr>
          <w:rFonts w:ascii="Arial" w:hAnsi="Arial" w:cs="Arial"/>
          <w:sz w:val="20"/>
          <w:szCs w:val="20"/>
        </w:rPr>
        <w:t xml:space="preserve">cette possibilité d’interprétation pourrait éventuellement être problématique. Au sens électromagnétique, cette expression signifie que </w:t>
      </w:r>
      <w:r w:rsidRPr="00367C86">
        <w:rPr>
          <w:rStyle w:val="lev"/>
          <w:rFonts w:ascii="Arial" w:hAnsi="Arial" w:cs="Arial"/>
          <w:b w:val="0"/>
          <w:sz w:val="20"/>
          <w:szCs w:val="20"/>
        </w:rPr>
        <w:t>l’onde porteuse est transmise par impulsions</w:t>
      </w:r>
      <w:r w:rsidRPr="00367C86">
        <w:rPr>
          <w:rFonts w:ascii="Arial" w:hAnsi="Arial" w:cs="Arial"/>
          <w:sz w:val="20"/>
          <w:szCs w:val="20"/>
        </w:rPr>
        <w:t>, avec des phase</w:t>
      </w:r>
      <w:r w:rsidR="005973A8" w:rsidRPr="00367C86">
        <w:rPr>
          <w:rFonts w:ascii="Arial" w:hAnsi="Arial" w:cs="Arial"/>
          <w:sz w:val="20"/>
          <w:szCs w:val="20"/>
        </w:rPr>
        <w:t>s d’émission et de silence, on parle donc</w:t>
      </w:r>
      <w:r w:rsidRPr="00367C86">
        <w:rPr>
          <w:rFonts w:ascii="Arial" w:hAnsi="Arial" w:cs="Arial"/>
          <w:sz w:val="20"/>
          <w:szCs w:val="20"/>
        </w:rPr>
        <w:t xml:space="preserve"> d’ondes pulsées. Avec pour conséquence une alternance d’apparition et de disparition du champ électromagnétique rayonné par l’onde, mais durant de très brefs instants. Cette expression peut également être employée pour parler du signal porté par l’onde, du contenu informationnel. En ce cas, l’information est transmise par « paquets » mais l’onde porteuse, elle, r</w:t>
      </w:r>
      <w:r w:rsidR="005973A8" w:rsidRPr="00367C86">
        <w:rPr>
          <w:rFonts w:ascii="Arial" w:hAnsi="Arial" w:cs="Arial"/>
          <w:sz w:val="20"/>
          <w:szCs w:val="20"/>
        </w:rPr>
        <w:t>este continue ce qui peut ne pas avoir les mêmes conséquences d’un point de vue biologique. Lorsque l’on parle de signal pulsé, il est généralement question de l’onde porteuse (celle qui rayonne) et lorsque l’on dit que le signal est transmis par paquets, on parle alors du contenu informationnel.</w:t>
      </w:r>
    </w:p>
    <w:p w:rsidR="003F547F" w:rsidRPr="00367C86" w:rsidRDefault="00F82636" w:rsidP="009F3BB0">
      <w:pPr>
        <w:pStyle w:val="NormalWeb"/>
        <w:numPr>
          <w:ilvl w:val="0"/>
          <w:numId w:val="7"/>
        </w:numPr>
        <w:jc w:val="both"/>
        <w:rPr>
          <w:rFonts w:ascii="Arial" w:hAnsi="Arial" w:cs="Arial"/>
          <w:sz w:val="20"/>
          <w:szCs w:val="20"/>
        </w:rPr>
      </w:pPr>
      <w:r w:rsidRPr="00367C86">
        <w:rPr>
          <w:rFonts w:ascii="Arial" w:hAnsi="Arial" w:cs="Arial"/>
          <w:sz w:val="20"/>
          <w:szCs w:val="20"/>
        </w:rPr>
        <w:t>Un camion rempli de</w:t>
      </w:r>
      <w:r w:rsidR="00DE31C8" w:rsidRPr="00367C86">
        <w:rPr>
          <w:rFonts w:ascii="Arial" w:hAnsi="Arial" w:cs="Arial"/>
          <w:sz w:val="20"/>
          <w:szCs w:val="20"/>
        </w:rPr>
        <w:t xml:space="preserve"> conteneurs</w:t>
      </w:r>
      <w:r w:rsidRPr="00367C86">
        <w:rPr>
          <w:rFonts w:ascii="Arial" w:hAnsi="Arial" w:cs="Arial"/>
          <w:sz w:val="20"/>
          <w:szCs w:val="20"/>
        </w:rPr>
        <w:t> :</w:t>
      </w:r>
    </w:p>
    <w:p w:rsidR="001F2CF2" w:rsidRPr="00367C86" w:rsidRDefault="00DE31C8" w:rsidP="00367C86">
      <w:pPr>
        <w:pStyle w:val="NormalWeb"/>
        <w:jc w:val="both"/>
        <w:rPr>
          <w:rFonts w:ascii="Arial" w:hAnsi="Arial" w:cs="Arial"/>
          <w:sz w:val="20"/>
          <w:szCs w:val="20"/>
        </w:rPr>
      </w:pPr>
      <w:r w:rsidRPr="00367C86">
        <w:rPr>
          <w:rFonts w:ascii="Arial" w:hAnsi="Arial" w:cs="Arial"/>
          <w:sz w:val="20"/>
          <w:szCs w:val="20"/>
        </w:rPr>
        <w:t xml:space="preserve">Et voici un nouveau niveau de complexité : </w:t>
      </w:r>
      <w:r w:rsidR="006423F3" w:rsidRPr="00367C86">
        <w:rPr>
          <w:rFonts w:ascii="Arial" w:hAnsi="Arial" w:cs="Arial"/>
          <w:sz w:val="20"/>
          <w:szCs w:val="20"/>
        </w:rPr>
        <w:t xml:space="preserve">en effet, </w:t>
      </w:r>
      <w:r w:rsidR="00D05E0D" w:rsidRPr="00367C86">
        <w:rPr>
          <w:rFonts w:ascii="Arial" w:hAnsi="Arial" w:cs="Arial"/>
          <w:sz w:val="20"/>
          <w:szCs w:val="20"/>
        </w:rPr>
        <w:t>il serait tentant d’envisager la relation dose-réponse relative</w:t>
      </w:r>
      <w:r w:rsidR="006423F3" w:rsidRPr="00367C86">
        <w:rPr>
          <w:rFonts w:ascii="Arial" w:hAnsi="Arial" w:cs="Arial"/>
          <w:sz w:val="20"/>
          <w:szCs w:val="20"/>
        </w:rPr>
        <w:t xml:space="preserve"> à l’exposition aux hyperfréquences via </w:t>
      </w:r>
      <w:r w:rsidR="00F82636" w:rsidRPr="00367C86">
        <w:rPr>
          <w:rFonts w:ascii="Arial" w:hAnsi="Arial" w:cs="Arial"/>
          <w:sz w:val="20"/>
          <w:szCs w:val="20"/>
        </w:rPr>
        <w:t xml:space="preserve">les seuls paramètres que sont </w:t>
      </w:r>
      <w:r w:rsidR="009F6B81" w:rsidRPr="00367C86">
        <w:rPr>
          <w:rFonts w:ascii="Arial" w:hAnsi="Arial" w:cs="Arial"/>
          <w:sz w:val="20"/>
          <w:szCs w:val="20"/>
        </w:rPr>
        <w:t>la fréquence</w:t>
      </w:r>
      <w:r w:rsidR="009F6B81" w:rsidRPr="00367C86">
        <w:rPr>
          <w:rStyle w:val="Appelnotedebasdep"/>
          <w:rFonts w:ascii="Arial" w:hAnsi="Arial" w:cs="Arial"/>
          <w:sz w:val="20"/>
          <w:szCs w:val="20"/>
        </w:rPr>
        <w:footnoteReference w:id="17"/>
      </w:r>
      <w:r w:rsidR="009F6B81" w:rsidRPr="00367C86">
        <w:rPr>
          <w:rFonts w:ascii="Arial" w:hAnsi="Arial" w:cs="Arial"/>
          <w:sz w:val="20"/>
          <w:szCs w:val="20"/>
        </w:rPr>
        <w:t xml:space="preserve"> employée ou bien la puissance</w:t>
      </w:r>
      <w:r w:rsidR="009F6B81" w:rsidRPr="00367C86">
        <w:rPr>
          <w:rStyle w:val="Appelnotedebasdep"/>
          <w:rFonts w:ascii="Arial" w:hAnsi="Arial" w:cs="Arial"/>
          <w:sz w:val="20"/>
          <w:szCs w:val="20"/>
        </w:rPr>
        <w:footnoteReference w:id="18"/>
      </w:r>
      <w:r w:rsidR="002D1897" w:rsidRPr="00367C86">
        <w:rPr>
          <w:rFonts w:ascii="Arial" w:hAnsi="Arial" w:cs="Arial"/>
          <w:sz w:val="20"/>
          <w:szCs w:val="20"/>
        </w:rPr>
        <w:t xml:space="preserve">. </w:t>
      </w:r>
    </w:p>
    <w:p w:rsidR="002D1897" w:rsidRPr="00367C86" w:rsidRDefault="002D1897" w:rsidP="00367C86">
      <w:pPr>
        <w:pStyle w:val="NormalWeb"/>
        <w:jc w:val="both"/>
        <w:rPr>
          <w:rFonts w:ascii="Arial" w:hAnsi="Arial" w:cs="Arial"/>
          <w:sz w:val="20"/>
          <w:szCs w:val="20"/>
        </w:rPr>
      </w:pPr>
      <w:r w:rsidRPr="00367C86">
        <w:rPr>
          <w:rFonts w:ascii="Arial" w:hAnsi="Arial" w:cs="Arial"/>
          <w:sz w:val="20"/>
          <w:szCs w:val="20"/>
        </w:rPr>
        <w:t>C</w:t>
      </w:r>
      <w:r w:rsidR="006423F3" w:rsidRPr="00367C86">
        <w:rPr>
          <w:rFonts w:ascii="Arial" w:hAnsi="Arial" w:cs="Arial"/>
          <w:sz w:val="20"/>
          <w:szCs w:val="20"/>
        </w:rPr>
        <w:t>e serait trop simple</w:t>
      </w:r>
      <w:r w:rsidRPr="00367C86">
        <w:rPr>
          <w:rFonts w:ascii="Arial" w:hAnsi="Arial" w:cs="Arial"/>
          <w:sz w:val="20"/>
          <w:szCs w:val="20"/>
        </w:rPr>
        <w:t>…</w:t>
      </w:r>
      <w:r w:rsidR="006423F3" w:rsidRPr="00367C86">
        <w:rPr>
          <w:rFonts w:ascii="Arial" w:hAnsi="Arial" w:cs="Arial"/>
          <w:sz w:val="20"/>
          <w:szCs w:val="20"/>
        </w:rPr>
        <w:t xml:space="preserve"> En effet, compte-tenu </w:t>
      </w:r>
      <w:r w:rsidRPr="00367C86">
        <w:rPr>
          <w:rFonts w:ascii="Arial" w:hAnsi="Arial" w:cs="Arial"/>
          <w:sz w:val="20"/>
          <w:szCs w:val="20"/>
        </w:rPr>
        <w:t>de la forte croissan</w:t>
      </w:r>
      <w:r w:rsidR="00D05E0D" w:rsidRPr="00367C86">
        <w:rPr>
          <w:rFonts w:ascii="Arial" w:hAnsi="Arial" w:cs="Arial"/>
          <w:sz w:val="20"/>
          <w:szCs w:val="20"/>
        </w:rPr>
        <w:t>ce du recours aux hyperfréquence</w:t>
      </w:r>
      <w:r w:rsidRPr="00367C86">
        <w:rPr>
          <w:rFonts w:ascii="Arial" w:hAnsi="Arial" w:cs="Arial"/>
          <w:sz w:val="20"/>
          <w:szCs w:val="20"/>
        </w:rPr>
        <w:t>s</w:t>
      </w:r>
      <w:r w:rsidR="001F2CF2" w:rsidRPr="00367C86">
        <w:rPr>
          <w:rFonts w:ascii="Arial" w:hAnsi="Arial" w:cs="Arial"/>
          <w:sz w:val="20"/>
          <w:szCs w:val="20"/>
        </w:rPr>
        <w:t xml:space="preserve"> et de </w:t>
      </w:r>
      <w:r w:rsidR="00D05E0D" w:rsidRPr="00367C86">
        <w:rPr>
          <w:rFonts w:ascii="Arial" w:hAnsi="Arial" w:cs="Arial"/>
          <w:sz w:val="20"/>
          <w:szCs w:val="20"/>
        </w:rPr>
        <w:t xml:space="preserve">l’augmentation de </w:t>
      </w:r>
      <w:r w:rsidR="001F2CF2" w:rsidRPr="00367C86">
        <w:rPr>
          <w:rFonts w:ascii="Arial" w:hAnsi="Arial" w:cs="Arial"/>
          <w:sz w:val="20"/>
          <w:szCs w:val="20"/>
        </w:rPr>
        <w:t>la quantité de données transférées</w:t>
      </w:r>
      <w:r w:rsidRPr="00367C86">
        <w:rPr>
          <w:rFonts w:ascii="Arial" w:hAnsi="Arial" w:cs="Arial"/>
          <w:sz w:val="20"/>
          <w:szCs w:val="20"/>
        </w:rPr>
        <w:t xml:space="preserve">, les ingénieurs ont conçu différentes techniques </w:t>
      </w:r>
      <w:r w:rsidR="00D05E0D" w:rsidRPr="00367C86">
        <w:rPr>
          <w:rFonts w:ascii="Arial" w:hAnsi="Arial" w:cs="Arial"/>
          <w:sz w:val="20"/>
          <w:szCs w:val="20"/>
        </w:rPr>
        <w:t xml:space="preserve">dites </w:t>
      </w:r>
      <w:r w:rsidRPr="00367C86">
        <w:rPr>
          <w:rFonts w:ascii="Arial" w:hAnsi="Arial" w:cs="Arial"/>
          <w:sz w:val="20"/>
          <w:szCs w:val="20"/>
        </w:rPr>
        <w:t xml:space="preserve">de multiplexage. </w:t>
      </w:r>
    </w:p>
    <w:p w:rsidR="00DE31C8" w:rsidRPr="00367C86" w:rsidRDefault="002D1897" w:rsidP="00367C86">
      <w:pPr>
        <w:pStyle w:val="NormalWeb"/>
        <w:jc w:val="both"/>
        <w:rPr>
          <w:rFonts w:ascii="Arial" w:hAnsi="Arial" w:cs="Arial"/>
          <w:bCs/>
          <w:sz w:val="20"/>
          <w:szCs w:val="20"/>
        </w:rPr>
      </w:pPr>
      <w:r w:rsidRPr="00367C86">
        <w:rPr>
          <w:rFonts w:ascii="Arial" w:hAnsi="Arial" w:cs="Arial"/>
          <w:sz w:val="20"/>
          <w:szCs w:val="20"/>
        </w:rPr>
        <w:t xml:space="preserve">Le multiplexage permet de diviser une onde porteuse en plusieurs sous-porteuses pour optimiser la transmission des données. </w:t>
      </w:r>
      <w:r w:rsidR="004A4AD8" w:rsidRPr="00367C86">
        <w:rPr>
          <w:rFonts w:ascii="Arial" w:hAnsi="Arial" w:cs="Arial"/>
          <w:sz w:val="20"/>
          <w:szCs w:val="20"/>
        </w:rPr>
        <w:t xml:space="preserve">Il peut, par exemple, </w:t>
      </w:r>
      <w:r w:rsidR="00F25EC7" w:rsidRPr="00367C86">
        <w:rPr>
          <w:rFonts w:ascii="Arial" w:hAnsi="Arial" w:cs="Arial"/>
          <w:sz w:val="20"/>
          <w:szCs w:val="20"/>
        </w:rPr>
        <w:t>permettre à plusieurs utili</w:t>
      </w:r>
      <w:r w:rsidR="004A4AD8" w:rsidRPr="00367C86">
        <w:rPr>
          <w:rFonts w:ascii="Arial" w:hAnsi="Arial" w:cs="Arial"/>
          <w:sz w:val="20"/>
          <w:szCs w:val="20"/>
        </w:rPr>
        <w:t>sateurs de partager la même porteuse</w:t>
      </w:r>
      <w:r w:rsidR="00F25EC7" w:rsidRPr="00367C86">
        <w:rPr>
          <w:rFonts w:ascii="Arial" w:hAnsi="Arial" w:cs="Arial"/>
          <w:sz w:val="20"/>
          <w:szCs w:val="20"/>
        </w:rPr>
        <w:t xml:space="preserve">. Par exemple, la 4G LTE peut contenir jusqu’à 600 sous-porteuses. </w:t>
      </w:r>
      <w:r w:rsidRPr="00367C86">
        <w:rPr>
          <w:rFonts w:ascii="Arial" w:hAnsi="Arial" w:cs="Arial"/>
          <w:sz w:val="20"/>
          <w:szCs w:val="20"/>
        </w:rPr>
        <w:t>U</w:t>
      </w:r>
      <w:r w:rsidR="00DE31C8" w:rsidRPr="00367C86">
        <w:rPr>
          <w:rFonts w:ascii="Arial" w:hAnsi="Arial" w:cs="Arial"/>
          <w:sz w:val="20"/>
          <w:szCs w:val="20"/>
        </w:rPr>
        <w:t xml:space="preserve">ne </w:t>
      </w:r>
      <w:r w:rsidR="00DE31C8" w:rsidRPr="00367C86">
        <w:rPr>
          <w:rFonts w:ascii="Arial" w:hAnsi="Arial" w:cs="Arial"/>
          <w:bCs/>
          <w:sz w:val="20"/>
          <w:szCs w:val="20"/>
        </w:rPr>
        <w:t>sous-porteuse</w:t>
      </w:r>
      <w:r w:rsidR="00DE31C8" w:rsidRPr="00367C86">
        <w:rPr>
          <w:rFonts w:ascii="Arial" w:hAnsi="Arial" w:cs="Arial"/>
          <w:sz w:val="20"/>
          <w:szCs w:val="20"/>
        </w:rPr>
        <w:t xml:space="preserve"> est </w:t>
      </w:r>
      <w:r w:rsidR="004A4AD8" w:rsidRPr="00367C86">
        <w:rPr>
          <w:rFonts w:ascii="Arial" w:hAnsi="Arial" w:cs="Arial"/>
          <w:sz w:val="20"/>
          <w:szCs w:val="20"/>
        </w:rPr>
        <w:t xml:space="preserve">ainsi </w:t>
      </w:r>
      <w:r w:rsidR="00DE31C8" w:rsidRPr="00367C86">
        <w:rPr>
          <w:rFonts w:ascii="Arial" w:hAnsi="Arial" w:cs="Arial"/>
          <w:sz w:val="20"/>
          <w:szCs w:val="20"/>
        </w:rPr>
        <w:t xml:space="preserve">une </w:t>
      </w:r>
      <w:r w:rsidR="00DE31C8" w:rsidRPr="00367C86">
        <w:rPr>
          <w:rFonts w:ascii="Arial" w:hAnsi="Arial" w:cs="Arial"/>
          <w:bCs/>
          <w:sz w:val="20"/>
          <w:szCs w:val="20"/>
        </w:rPr>
        <w:t>fréquence secondaire</w:t>
      </w:r>
      <w:r w:rsidRPr="00367C86">
        <w:rPr>
          <w:rFonts w:ascii="Arial" w:hAnsi="Arial" w:cs="Arial"/>
          <w:sz w:val="20"/>
          <w:szCs w:val="20"/>
        </w:rPr>
        <w:t xml:space="preserve">, </w:t>
      </w:r>
      <w:r w:rsidR="00DE31C8" w:rsidRPr="00367C86">
        <w:rPr>
          <w:rFonts w:ascii="Arial" w:hAnsi="Arial" w:cs="Arial"/>
          <w:sz w:val="20"/>
          <w:szCs w:val="20"/>
        </w:rPr>
        <w:t>plus basse que la fréquence porte</w:t>
      </w:r>
      <w:r w:rsidRPr="00367C86">
        <w:rPr>
          <w:rFonts w:ascii="Arial" w:hAnsi="Arial" w:cs="Arial"/>
          <w:sz w:val="20"/>
          <w:szCs w:val="20"/>
        </w:rPr>
        <w:t xml:space="preserve">use principale, </w:t>
      </w:r>
      <w:r w:rsidR="00DE31C8" w:rsidRPr="00367C86">
        <w:rPr>
          <w:rFonts w:ascii="Arial" w:hAnsi="Arial" w:cs="Arial"/>
          <w:sz w:val="20"/>
          <w:szCs w:val="20"/>
        </w:rPr>
        <w:t>utilisée pour transmettre une partie d’un signal global. Dans le contexte des hyperf</w:t>
      </w:r>
      <w:r w:rsidRPr="00367C86">
        <w:rPr>
          <w:rFonts w:ascii="Arial" w:hAnsi="Arial" w:cs="Arial"/>
          <w:sz w:val="20"/>
          <w:szCs w:val="20"/>
        </w:rPr>
        <w:t>réquences (</w:t>
      </w:r>
      <w:r w:rsidR="00DE31C8" w:rsidRPr="00367C86">
        <w:rPr>
          <w:rFonts w:ascii="Arial" w:hAnsi="Arial" w:cs="Arial"/>
          <w:sz w:val="20"/>
          <w:szCs w:val="20"/>
        </w:rPr>
        <w:t xml:space="preserve">notamment des technologies comme la </w:t>
      </w:r>
      <w:r w:rsidRPr="00367C86">
        <w:rPr>
          <w:rFonts w:ascii="Arial" w:hAnsi="Arial" w:cs="Arial"/>
          <w:bCs/>
          <w:sz w:val="20"/>
          <w:szCs w:val="20"/>
        </w:rPr>
        <w:t xml:space="preserve">4G ou la </w:t>
      </w:r>
      <w:r w:rsidR="00DE31C8" w:rsidRPr="00367C86">
        <w:rPr>
          <w:rFonts w:ascii="Arial" w:hAnsi="Arial" w:cs="Arial"/>
          <w:bCs/>
          <w:sz w:val="20"/>
          <w:szCs w:val="20"/>
        </w:rPr>
        <w:t>5G</w:t>
      </w:r>
      <w:r w:rsidRPr="00367C86">
        <w:rPr>
          <w:rFonts w:ascii="Arial" w:hAnsi="Arial" w:cs="Arial"/>
          <w:bCs/>
          <w:sz w:val="20"/>
          <w:szCs w:val="20"/>
        </w:rPr>
        <w:t>)</w:t>
      </w:r>
      <w:r w:rsidRPr="00367C86">
        <w:rPr>
          <w:rFonts w:ascii="Arial" w:hAnsi="Arial" w:cs="Arial"/>
          <w:sz w:val="20"/>
          <w:szCs w:val="20"/>
        </w:rPr>
        <w:t>, le multiplexage joue un rôle central (</w:t>
      </w:r>
      <w:r w:rsidR="00DE31C8" w:rsidRPr="00367C86">
        <w:rPr>
          <w:rFonts w:ascii="Arial" w:hAnsi="Arial" w:cs="Arial"/>
          <w:sz w:val="20"/>
          <w:szCs w:val="20"/>
        </w:rPr>
        <w:t xml:space="preserve">systèmes </w:t>
      </w:r>
      <w:r w:rsidRPr="00367C86">
        <w:rPr>
          <w:rFonts w:ascii="Arial" w:hAnsi="Arial" w:cs="Arial"/>
          <w:bCs/>
          <w:sz w:val="20"/>
          <w:szCs w:val="20"/>
        </w:rPr>
        <w:t xml:space="preserve">OFDM et </w:t>
      </w:r>
      <w:r w:rsidR="00DE31C8" w:rsidRPr="00367C86">
        <w:rPr>
          <w:rFonts w:ascii="Arial" w:hAnsi="Arial" w:cs="Arial"/>
          <w:bCs/>
          <w:sz w:val="20"/>
          <w:szCs w:val="20"/>
        </w:rPr>
        <w:t>OFDMA</w:t>
      </w:r>
      <w:r w:rsidRPr="00367C86">
        <w:rPr>
          <w:rStyle w:val="Appelnotedebasdep"/>
          <w:rFonts w:ascii="Arial" w:hAnsi="Arial" w:cs="Arial"/>
          <w:bCs/>
          <w:sz w:val="20"/>
          <w:szCs w:val="20"/>
        </w:rPr>
        <w:footnoteReference w:id="19"/>
      </w:r>
      <w:r w:rsidRPr="00367C86">
        <w:rPr>
          <w:rFonts w:ascii="Arial" w:hAnsi="Arial" w:cs="Arial"/>
          <w:bCs/>
          <w:sz w:val="20"/>
          <w:szCs w:val="20"/>
        </w:rPr>
        <w:t>).</w:t>
      </w:r>
      <w:r w:rsidR="004F74B9" w:rsidRPr="00367C86">
        <w:rPr>
          <w:rFonts w:ascii="Arial" w:hAnsi="Arial" w:cs="Arial"/>
          <w:bCs/>
          <w:sz w:val="20"/>
          <w:szCs w:val="20"/>
        </w:rPr>
        <w:t xml:space="preserve"> A noter : plus la bande passante est large, plus le nombre de sous-porteuses est important.</w:t>
      </w:r>
    </w:p>
    <w:p w:rsidR="00D05E0D" w:rsidRPr="00367C86" w:rsidRDefault="001F2CF2" w:rsidP="00367C86">
      <w:pPr>
        <w:pStyle w:val="NormalWeb"/>
        <w:jc w:val="both"/>
        <w:rPr>
          <w:rFonts w:ascii="Arial" w:hAnsi="Arial" w:cs="Arial"/>
          <w:sz w:val="20"/>
          <w:szCs w:val="20"/>
        </w:rPr>
      </w:pPr>
      <w:r w:rsidRPr="00367C86">
        <w:rPr>
          <w:rFonts w:ascii="Arial" w:hAnsi="Arial" w:cs="Arial"/>
          <w:sz w:val="20"/>
          <w:szCs w:val="20"/>
        </w:rPr>
        <w:t xml:space="preserve">Pour bien comprendre cette technique, on peut aussi imaginer un </w:t>
      </w:r>
      <w:r w:rsidRPr="00367C86">
        <w:rPr>
          <w:rFonts w:ascii="Arial" w:hAnsi="Arial" w:cs="Arial"/>
          <w:bCs/>
          <w:sz w:val="20"/>
          <w:szCs w:val="20"/>
        </w:rPr>
        <w:t>camion principal (porteuse)</w:t>
      </w:r>
      <w:r w:rsidRPr="00367C86">
        <w:rPr>
          <w:rFonts w:ascii="Arial" w:hAnsi="Arial" w:cs="Arial"/>
          <w:sz w:val="20"/>
          <w:szCs w:val="20"/>
        </w:rPr>
        <w:t xml:space="preserve"> transportant plusieurs </w:t>
      </w:r>
      <w:r w:rsidRPr="00367C86">
        <w:rPr>
          <w:rFonts w:ascii="Arial" w:hAnsi="Arial" w:cs="Arial"/>
          <w:bCs/>
          <w:sz w:val="20"/>
          <w:szCs w:val="20"/>
        </w:rPr>
        <w:t>conteneurs (sous-porteuses)</w:t>
      </w:r>
      <w:r w:rsidRPr="00367C86">
        <w:rPr>
          <w:rFonts w:ascii="Arial" w:hAnsi="Arial" w:cs="Arial"/>
          <w:sz w:val="20"/>
          <w:szCs w:val="20"/>
        </w:rPr>
        <w:t>. Chaque conteneur peut porter un type de marchandise (une portion du signal ou des données d’un utilisateur).</w:t>
      </w:r>
      <w:r w:rsidR="00D05E0D" w:rsidRPr="00367C86">
        <w:rPr>
          <w:rFonts w:ascii="Arial" w:hAnsi="Arial" w:cs="Arial"/>
          <w:sz w:val="20"/>
          <w:szCs w:val="20"/>
        </w:rPr>
        <w:t xml:space="preserve"> </w:t>
      </w:r>
    </w:p>
    <w:p w:rsidR="00F9737C" w:rsidRPr="00367C86" w:rsidRDefault="00D05E0D" w:rsidP="00367C86">
      <w:pPr>
        <w:pStyle w:val="NormalWeb"/>
        <w:jc w:val="both"/>
        <w:rPr>
          <w:rFonts w:ascii="Arial" w:hAnsi="Arial" w:cs="Arial"/>
          <w:sz w:val="20"/>
          <w:szCs w:val="20"/>
        </w:rPr>
      </w:pPr>
      <w:r w:rsidRPr="00367C86">
        <w:rPr>
          <w:rFonts w:ascii="Arial" w:hAnsi="Arial" w:cs="Arial"/>
          <w:sz w:val="20"/>
          <w:szCs w:val="20"/>
        </w:rPr>
        <w:t xml:space="preserve">Or, nous le verrons plus bas, plus une </w:t>
      </w:r>
      <w:r w:rsidR="00F9737C" w:rsidRPr="00367C86">
        <w:rPr>
          <w:rFonts w:ascii="Arial" w:hAnsi="Arial" w:cs="Arial"/>
          <w:sz w:val="20"/>
          <w:szCs w:val="20"/>
        </w:rPr>
        <w:t xml:space="preserve">onde </w:t>
      </w:r>
      <w:r w:rsidRPr="00367C86">
        <w:rPr>
          <w:rFonts w:ascii="Arial" w:hAnsi="Arial" w:cs="Arial"/>
          <w:sz w:val="20"/>
          <w:szCs w:val="20"/>
        </w:rPr>
        <w:t>hyperfréquence porte de sous-porteuses</w:t>
      </w:r>
      <w:r w:rsidR="00F9737C" w:rsidRPr="00367C86">
        <w:rPr>
          <w:rFonts w:ascii="Arial" w:hAnsi="Arial" w:cs="Arial"/>
          <w:sz w:val="20"/>
          <w:szCs w:val="20"/>
        </w:rPr>
        <w:t xml:space="preserve"> simultanées</w:t>
      </w:r>
      <w:r w:rsidRPr="00367C86">
        <w:rPr>
          <w:rFonts w:ascii="Arial" w:hAnsi="Arial" w:cs="Arial"/>
          <w:sz w:val="20"/>
          <w:szCs w:val="20"/>
        </w:rPr>
        <w:t>, plus l’intensité d</w:t>
      </w:r>
      <w:r w:rsidR="00961983" w:rsidRPr="00367C86">
        <w:rPr>
          <w:rFonts w:ascii="Arial" w:hAnsi="Arial" w:cs="Arial"/>
          <w:sz w:val="20"/>
          <w:szCs w:val="20"/>
        </w:rPr>
        <w:t xml:space="preserve">u champ électromagnétique </w:t>
      </w:r>
      <w:r w:rsidR="00F9737C" w:rsidRPr="00367C86">
        <w:rPr>
          <w:rFonts w:ascii="Arial" w:hAnsi="Arial" w:cs="Arial"/>
          <w:sz w:val="20"/>
          <w:szCs w:val="20"/>
        </w:rPr>
        <w:t xml:space="preserve">qu’elle rayonne peut, </w:t>
      </w:r>
      <w:r w:rsidRPr="00367C86">
        <w:rPr>
          <w:rFonts w:ascii="Arial" w:hAnsi="Arial" w:cs="Arial"/>
          <w:sz w:val="20"/>
          <w:szCs w:val="20"/>
        </w:rPr>
        <w:t>de façon transitoire</w:t>
      </w:r>
      <w:r w:rsidR="00F9737C" w:rsidRPr="00367C86">
        <w:rPr>
          <w:rFonts w:ascii="Arial" w:hAnsi="Arial" w:cs="Arial"/>
          <w:sz w:val="20"/>
          <w:szCs w:val="20"/>
        </w:rPr>
        <w:t>, atteindre des niveaux plus élevés (appelés</w:t>
      </w:r>
      <w:r w:rsidRPr="00367C86">
        <w:rPr>
          <w:rFonts w:ascii="Arial" w:hAnsi="Arial" w:cs="Arial"/>
          <w:sz w:val="20"/>
          <w:szCs w:val="20"/>
        </w:rPr>
        <w:t xml:space="preserve"> crêtes ou pics</w:t>
      </w:r>
      <w:r w:rsidR="00961983" w:rsidRPr="00367C86">
        <w:rPr>
          <w:rFonts w:ascii="Arial" w:hAnsi="Arial" w:cs="Arial"/>
          <w:sz w:val="20"/>
          <w:szCs w:val="20"/>
        </w:rPr>
        <w:t>)</w:t>
      </w:r>
      <w:r w:rsidR="00F9737C" w:rsidRPr="00367C86">
        <w:rPr>
          <w:rFonts w:ascii="Arial" w:hAnsi="Arial" w:cs="Arial"/>
          <w:sz w:val="20"/>
          <w:szCs w:val="20"/>
        </w:rPr>
        <w:t>. L</w:t>
      </w:r>
      <w:r w:rsidR="00961983" w:rsidRPr="00367C86">
        <w:rPr>
          <w:rFonts w:ascii="Arial" w:hAnsi="Arial" w:cs="Arial"/>
          <w:sz w:val="20"/>
          <w:szCs w:val="20"/>
        </w:rPr>
        <w:t>a va</w:t>
      </w:r>
      <w:r w:rsidR="00F9737C" w:rsidRPr="00367C86">
        <w:rPr>
          <w:rFonts w:ascii="Arial" w:hAnsi="Arial" w:cs="Arial"/>
          <w:sz w:val="20"/>
          <w:szCs w:val="20"/>
        </w:rPr>
        <w:t>leur de crête déterminant</w:t>
      </w:r>
      <w:r w:rsidR="00961983" w:rsidRPr="00367C86">
        <w:rPr>
          <w:rFonts w:ascii="Arial" w:hAnsi="Arial" w:cs="Arial"/>
          <w:sz w:val="20"/>
          <w:szCs w:val="20"/>
        </w:rPr>
        <w:t xml:space="preserve"> l’intensit</w:t>
      </w:r>
      <w:r w:rsidR="00F9737C" w:rsidRPr="00367C86">
        <w:rPr>
          <w:rFonts w:ascii="Arial" w:hAnsi="Arial" w:cs="Arial"/>
          <w:sz w:val="20"/>
          <w:szCs w:val="20"/>
        </w:rPr>
        <w:t xml:space="preserve">é maximale instantanée du champ électromagnétique, </w:t>
      </w:r>
      <w:r w:rsidR="00961983" w:rsidRPr="00367C86">
        <w:rPr>
          <w:rFonts w:ascii="Arial" w:hAnsi="Arial" w:cs="Arial"/>
          <w:sz w:val="20"/>
          <w:szCs w:val="20"/>
        </w:rPr>
        <w:t>le multiplexa</w:t>
      </w:r>
      <w:r w:rsidR="00F9737C" w:rsidRPr="00367C86">
        <w:rPr>
          <w:rFonts w:ascii="Arial" w:hAnsi="Arial" w:cs="Arial"/>
          <w:sz w:val="20"/>
          <w:szCs w:val="20"/>
        </w:rPr>
        <w:t>ge par sous-porteuses peut générer</w:t>
      </w:r>
      <w:r w:rsidR="00961983" w:rsidRPr="00367C86">
        <w:rPr>
          <w:rFonts w:ascii="Arial" w:hAnsi="Arial" w:cs="Arial"/>
          <w:sz w:val="20"/>
          <w:szCs w:val="20"/>
        </w:rPr>
        <w:t xml:space="preserve"> des pics d’</w:t>
      </w:r>
      <w:r w:rsidR="00F9737C" w:rsidRPr="00367C86">
        <w:rPr>
          <w:rFonts w:ascii="Arial" w:hAnsi="Arial" w:cs="Arial"/>
          <w:sz w:val="20"/>
          <w:szCs w:val="20"/>
        </w:rPr>
        <w:t>exposition brefs</w:t>
      </w:r>
      <w:r w:rsidR="00961983" w:rsidRPr="00367C86">
        <w:rPr>
          <w:rFonts w:ascii="Arial" w:hAnsi="Arial" w:cs="Arial"/>
          <w:sz w:val="20"/>
          <w:szCs w:val="20"/>
        </w:rPr>
        <w:t xml:space="preserve"> mais intenses. Ces pics pourraient ainsi être bien supérieurs à la valeur moyenne observée des signaux</w:t>
      </w:r>
      <w:r w:rsidR="00A05860" w:rsidRPr="00367C86">
        <w:rPr>
          <w:rFonts w:ascii="Arial" w:hAnsi="Arial" w:cs="Arial"/>
          <w:sz w:val="20"/>
          <w:szCs w:val="20"/>
        </w:rPr>
        <w:t xml:space="preserve"> des technologies sans fil </w:t>
      </w:r>
      <w:r w:rsidR="001B0790">
        <w:rPr>
          <w:rFonts w:ascii="Arial" w:hAnsi="Arial" w:cs="Arial"/>
          <w:sz w:val="20"/>
          <w:szCs w:val="20"/>
        </w:rPr>
        <w:t xml:space="preserve">: leur existence ainsi que leur </w:t>
      </w:r>
      <w:r w:rsidR="00A05860" w:rsidRPr="00367C86">
        <w:rPr>
          <w:rFonts w:ascii="Arial" w:hAnsi="Arial" w:cs="Arial"/>
          <w:sz w:val="20"/>
          <w:szCs w:val="20"/>
        </w:rPr>
        <w:t xml:space="preserve">variabilité temporelle </w:t>
      </w:r>
      <w:r w:rsidR="00961983" w:rsidRPr="00367C86">
        <w:rPr>
          <w:rFonts w:ascii="Arial" w:hAnsi="Arial" w:cs="Arial"/>
          <w:sz w:val="20"/>
          <w:szCs w:val="20"/>
        </w:rPr>
        <w:t>pourraient potentiellement, c’est une hypothèse, avoir des effets biologiques.</w:t>
      </w:r>
    </w:p>
    <w:p w:rsidR="00A05860" w:rsidRPr="00367C86" w:rsidRDefault="00A05860" w:rsidP="00367C86">
      <w:pPr>
        <w:spacing w:before="100" w:beforeAutospacing="1" w:after="100" w:afterAutospacing="1"/>
        <w:ind w:left="0" w:firstLine="0"/>
        <w:rPr>
          <w:rFonts w:ascii="Arial" w:hAnsi="Arial" w:cs="Arial"/>
          <w:sz w:val="20"/>
          <w:szCs w:val="20"/>
        </w:rPr>
      </w:pPr>
      <w:r w:rsidRPr="00367C86">
        <w:rPr>
          <w:rFonts w:ascii="Arial" w:eastAsia="Times New Roman" w:hAnsi="Arial" w:cs="Arial"/>
          <w:sz w:val="20"/>
          <w:szCs w:val="20"/>
          <w:lang w:eastAsia="fr-FR"/>
        </w:rPr>
        <w:t>Ce phénomène peut être mesuré via le PAPR</w:t>
      </w:r>
      <w:r w:rsidRPr="00367C86">
        <w:rPr>
          <w:rStyle w:val="Appelnotedebasdep"/>
          <w:rFonts w:ascii="Arial" w:eastAsia="Times New Roman" w:hAnsi="Arial" w:cs="Arial"/>
          <w:sz w:val="20"/>
          <w:szCs w:val="20"/>
          <w:lang w:eastAsia="fr-FR"/>
        </w:rPr>
        <w:footnoteReference w:id="20"/>
      </w:r>
      <w:r w:rsidRPr="00367C86">
        <w:rPr>
          <w:rFonts w:ascii="Arial" w:eastAsia="Times New Roman" w:hAnsi="Arial" w:cs="Arial"/>
          <w:sz w:val="20"/>
          <w:szCs w:val="20"/>
          <w:lang w:eastAsia="fr-FR"/>
        </w:rPr>
        <w:t xml:space="preserve">, paramètre-clef dans les systèmes de communication sans fil (plus ces pics sont élevés, plus le PAPR est élevé). Le PAPR est une caractéristique du </w:t>
      </w:r>
      <w:r w:rsidRPr="00367C86">
        <w:rPr>
          <w:rFonts w:ascii="Arial" w:eastAsia="Times New Roman" w:hAnsi="Arial" w:cs="Arial"/>
          <w:bCs/>
          <w:sz w:val="20"/>
          <w:szCs w:val="20"/>
          <w:lang w:eastAsia="fr-FR"/>
        </w:rPr>
        <w:t>signal</w:t>
      </w:r>
      <w:r w:rsidRPr="00367C86">
        <w:rPr>
          <w:rFonts w:ascii="Arial" w:eastAsia="Times New Roman" w:hAnsi="Arial" w:cs="Arial"/>
          <w:sz w:val="20"/>
          <w:szCs w:val="20"/>
          <w:lang w:eastAsia="fr-FR"/>
        </w:rPr>
        <w:t>, pas de l'</w:t>
      </w:r>
      <w:r w:rsidRPr="00367C86">
        <w:rPr>
          <w:rFonts w:ascii="Arial" w:eastAsia="Times New Roman" w:hAnsi="Arial" w:cs="Arial"/>
          <w:bCs/>
          <w:sz w:val="20"/>
          <w:szCs w:val="20"/>
          <w:lang w:eastAsia="fr-FR"/>
        </w:rPr>
        <w:t>onde électromagnétique</w:t>
      </w:r>
      <w:r w:rsidRPr="00367C86">
        <w:rPr>
          <w:rFonts w:ascii="Arial" w:eastAsia="Times New Roman" w:hAnsi="Arial" w:cs="Arial"/>
          <w:sz w:val="20"/>
          <w:szCs w:val="20"/>
          <w:lang w:eastAsia="fr-FR"/>
        </w:rPr>
        <w:t xml:space="preserve"> elle-même. </w:t>
      </w:r>
    </w:p>
    <w:p w:rsidR="002002EA" w:rsidRPr="00367C86" w:rsidRDefault="002002EA" w:rsidP="00367C86">
      <w:pPr>
        <w:pStyle w:val="NormalWeb"/>
        <w:jc w:val="center"/>
        <w:rPr>
          <w:rFonts w:ascii="Arial" w:hAnsi="Arial" w:cs="Arial"/>
          <w:sz w:val="20"/>
          <w:szCs w:val="20"/>
        </w:rPr>
      </w:pPr>
      <w:r w:rsidRPr="00367C86">
        <w:rPr>
          <w:rFonts w:ascii="Arial" w:hAnsi="Arial" w:cs="Arial"/>
          <w:noProof/>
          <w:sz w:val="20"/>
          <w:szCs w:val="20"/>
        </w:rPr>
        <w:lastRenderedPageBreak/>
        <w:drawing>
          <wp:inline distT="0" distB="0" distL="0" distR="0">
            <wp:extent cx="2602523" cy="1694462"/>
            <wp:effectExtent l="19050" t="0" r="7327" b="0"/>
            <wp:docPr id="16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srcRect/>
                    <a:stretch>
                      <a:fillRect/>
                    </a:stretch>
                  </pic:blipFill>
                  <pic:spPr bwMode="auto">
                    <a:xfrm>
                      <a:off x="0" y="0"/>
                      <a:ext cx="2608521" cy="1698367"/>
                    </a:xfrm>
                    <a:prstGeom prst="rect">
                      <a:avLst/>
                    </a:prstGeom>
                    <a:noFill/>
                    <a:ln w="9525">
                      <a:noFill/>
                      <a:miter lim="800000"/>
                      <a:headEnd/>
                      <a:tailEnd/>
                    </a:ln>
                  </pic:spPr>
                </pic:pic>
              </a:graphicData>
            </a:graphic>
          </wp:inline>
        </w:drawing>
      </w:r>
    </w:p>
    <w:p w:rsidR="000372F4" w:rsidRPr="00367C86" w:rsidRDefault="000372F4" w:rsidP="00367C86">
      <w:pPr>
        <w:pStyle w:val="NormalWeb"/>
        <w:jc w:val="center"/>
        <w:rPr>
          <w:rFonts w:ascii="Arial" w:hAnsi="Arial" w:cs="Arial"/>
          <w:sz w:val="20"/>
          <w:szCs w:val="20"/>
        </w:rPr>
      </w:pPr>
      <w:r w:rsidRPr="00367C86">
        <w:rPr>
          <w:rFonts w:ascii="Arial" w:hAnsi="Arial" w:cs="Arial"/>
          <w:sz w:val="20"/>
          <w:szCs w:val="20"/>
        </w:rPr>
        <w:t>Fig.1 : représentation simplifiée de la différence entre valeur crête, valeur moyenne et valeur efficace (générée via Chatgpt)</w:t>
      </w:r>
    </w:p>
    <w:p w:rsidR="00A5617D" w:rsidRPr="00367C86" w:rsidRDefault="00A5617D" w:rsidP="009F3BB0">
      <w:pPr>
        <w:pStyle w:val="NormalWeb"/>
        <w:numPr>
          <w:ilvl w:val="0"/>
          <w:numId w:val="7"/>
        </w:numPr>
        <w:jc w:val="both"/>
        <w:rPr>
          <w:rFonts w:ascii="Arial" w:hAnsi="Arial" w:cs="Arial"/>
          <w:sz w:val="20"/>
          <w:szCs w:val="20"/>
        </w:rPr>
      </w:pPr>
      <w:r w:rsidRPr="00367C86">
        <w:rPr>
          <w:rFonts w:ascii="Arial" w:hAnsi="Arial" w:cs="Arial"/>
          <w:bCs/>
          <w:sz w:val="20"/>
          <w:szCs w:val="20"/>
        </w:rPr>
        <w:t xml:space="preserve">Ondes pulsées </w:t>
      </w:r>
      <w:r w:rsidR="00A216B5" w:rsidRPr="00367C86">
        <w:rPr>
          <w:rFonts w:ascii="Arial" w:hAnsi="Arial" w:cs="Arial"/>
          <w:bCs/>
          <w:sz w:val="20"/>
          <w:szCs w:val="20"/>
        </w:rPr>
        <w:t xml:space="preserve">ou </w:t>
      </w:r>
      <w:r w:rsidRPr="00367C86">
        <w:rPr>
          <w:rFonts w:ascii="Arial" w:hAnsi="Arial" w:cs="Arial"/>
          <w:bCs/>
          <w:sz w:val="20"/>
          <w:szCs w:val="20"/>
        </w:rPr>
        <w:t>ondes non-pulsées</w:t>
      </w:r>
      <w:r w:rsidR="00A216B5" w:rsidRPr="00367C86">
        <w:rPr>
          <w:rFonts w:ascii="Arial" w:hAnsi="Arial" w:cs="Arial"/>
          <w:bCs/>
          <w:sz w:val="20"/>
          <w:szCs w:val="20"/>
        </w:rPr>
        <w:t xml:space="preserve"> ? </w:t>
      </w:r>
      <w:r w:rsidRPr="00367C86">
        <w:rPr>
          <w:rFonts w:ascii="Arial" w:hAnsi="Arial" w:cs="Arial"/>
          <w:bCs/>
          <w:sz w:val="20"/>
          <w:szCs w:val="20"/>
        </w:rPr>
        <w:t xml:space="preserve"> : </w:t>
      </w:r>
    </w:p>
    <w:p w:rsidR="00A5617D" w:rsidRPr="00367C86" w:rsidRDefault="00A5617D" w:rsidP="00367C86">
      <w:pPr>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 xml:space="preserve">Certains systèmes (notamment </w:t>
      </w:r>
      <w:r w:rsidRPr="00367C86">
        <w:rPr>
          <w:rFonts w:ascii="Arial" w:eastAsia="Times New Roman" w:hAnsi="Arial" w:cs="Arial"/>
          <w:bCs/>
          <w:sz w:val="20"/>
          <w:szCs w:val="20"/>
          <w:lang w:eastAsia="fr-FR"/>
        </w:rPr>
        <w:t>5G</w:t>
      </w:r>
      <w:r w:rsidRPr="00367C86">
        <w:rPr>
          <w:rFonts w:ascii="Arial" w:eastAsia="Times New Roman" w:hAnsi="Arial" w:cs="Arial"/>
          <w:sz w:val="20"/>
          <w:szCs w:val="20"/>
          <w:lang w:eastAsia="fr-FR"/>
        </w:rPr>
        <w:t xml:space="preserve">, </w:t>
      </w:r>
      <w:r w:rsidR="00A216B5" w:rsidRPr="00367C86">
        <w:rPr>
          <w:rFonts w:ascii="Arial" w:eastAsia="Times New Roman" w:hAnsi="Arial" w:cs="Arial"/>
          <w:bCs/>
          <w:sz w:val="20"/>
          <w:szCs w:val="20"/>
          <w:lang w:eastAsia="fr-FR"/>
        </w:rPr>
        <w:t>Wifi</w:t>
      </w:r>
      <w:r w:rsidRPr="00367C86">
        <w:rPr>
          <w:rFonts w:ascii="Arial" w:eastAsia="Times New Roman" w:hAnsi="Arial" w:cs="Arial"/>
          <w:sz w:val="20"/>
          <w:szCs w:val="20"/>
          <w:lang w:eastAsia="fr-FR"/>
        </w:rPr>
        <w:t xml:space="preserve">, </w:t>
      </w:r>
      <w:r w:rsidRPr="00367C86">
        <w:rPr>
          <w:rFonts w:ascii="Arial" w:eastAsia="Times New Roman" w:hAnsi="Arial" w:cs="Arial"/>
          <w:bCs/>
          <w:sz w:val="20"/>
          <w:szCs w:val="20"/>
          <w:lang w:eastAsia="fr-FR"/>
        </w:rPr>
        <w:t>radars</w:t>
      </w:r>
      <w:r w:rsidRPr="00367C86">
        <w:rPr>
          <w:rFonts w:ascii="Arial" w:eastAsia="Times New Roman" w:hAnsi="Arial" w:cs="Arial"/>
          <w:sz w:val="20"/>
          <w:szCs w:val="20"/>
          <w:lang w:eastAsia="fr-FR"/>
        </w:rPr>
        <w:t xml:space="preserve">, par exemple) émettent de manière </w:t>
      </w:r>
      <w:r w:rsidR="007C6E2F" w:rsidRPr="00367C86">
        <w:rPr>
          <w:rFonts w:ascii="Arial" w:eastAsia="Times New Roman" w:hAnsi="Arial" w:cs="Arial"/>
          <w:bCs/>
          <w:sz w:val="20"/>
          <w:szCs w:val="20"/>
          <w:lang w:eastAsia="fr-FR"/>
        </w:rPr>
        <w:t xml:space="preserve">pulsée ou </w:t>
      </w:r>
      <w:r w:rsidRPr="00367C86">
        <w:rPr>
          <w:rFonts w:ascii="Arial" w:eastAsia="Times New Roman" w:hAnsi="Arial" w:cs="Arial"/>
          <w:bCs/>
          <w:sz w:val="20"/>
          <w:szCs w:val="20"/>
          <w:lang w:eastAsia="fr-FR"/>
        </w:rPr>
        <w:t>intermittente</w:t>
      </w:r>
      <w:r w:rsidR="00D036F0" w:rsidRPr="00367C86">
        <w:rPr>
          <w:rFonts w:ascii="Arial" w:eastAsia="Times New Roman" w:hAnsi="Arial" w:cs="Arial"/>
          <w:sz w:val="20"/>
          <w:szCs w:val="20"/>
          <w:lang w:eastAsia="fr-FR"/>
        </w:rPr>
        <w:t xml:space="preserve"> (temps ON / OFF</w:t>
      </w:r>
      <w:r w:rsidR="007C6E2F" w:rsidRPr="00367C86">
        <w:rPr>
          <w:rFonts w:ascii="Arial" w:eastAsia="Times New Roman" w:hAnsi="Arial" w:cs="Arial"/>
          <w:sz w:val="20"/>
          <w:szCs w:val="20"/>
          <w:lang w:eastAsia="fr-FR"/>
        </w:rPr>
        <w:t xml:space="preserve"> du signal</w:t>
      </w:r>
      <w:r w:rsidR="00394129" w:rsidRPr="00367C86">
        <w:rPr>
          <w:rFonts w:ascii="Arial" w:eastAsia="Times New Roman" w:hAnsi="Arial" w:cs="Arial"/>
          <w:sz w:val="20"/>
          <w:szCs w:val="20"/>
          <w:lang w:eastAsia="fr-FR"/>
        </w:rPr>
        <w:t xml:space="preserve">) : </w:t>
      </w:r>
      <w:r w:rsidR="00394129" w:rsidRPr="00367C86">
        <w:rPr>
          <w:rFonts w:ascii="Arial" w:hAnsi="Arial" w:cs="Arial"/>
          <w:sz w:val="20"/>
          <w:szCs w:val="20"/>
        </w:rPr>
        <w:t xml:space="preserve">autrement dit, </w:t>
      </w:r>
      <w:r w:rsidR="00394129" w:rsidRPr="00367C86">
        <w:rPr>
          <w:rStyle w:val="lev"/>
          <w:rFonts w:ascii="Arial" w:hAnsi="Arial" w:cs="Arial"/>
          <w:b w:val="0"/>
          <w:sz w:val="20"/>
          <w:szCs w:val="20"/>
        </w:rPr>
        <w:t>l’émetteur n’émet l’onde porteuse que par impulsions brèves</w:t>
      </w:r>
      <w:r w:rsidR="00394129" w:rsidRPr="00367C86">
        <w:rPr>
          <w:rFonts w:ascii="Arial" w:hAnsi="Arial" w:cs="Arial"/>
          <w:sz w:val="20"/>
          <w:szCs w:val="20"/>
        </w:rPr>
        <w:t xml:space="preserve">, séparées par des temps de silence.Une </w:t>
      </w:r>
      <w:r w:rsidR="00394129" w:rsidRPr="00367C86">
        <w:rPr>
          <w:rStyle w:val="lev"/>
          <w:rFonts w:ascii="Arial" w:hAnsi="Arial" w:cs="Arial"/>
          <w:b w:val="0"/>
          <w:sz w:val="20"/>
          <w:szCs w:val="20"/>
        </w:rPr>
        <w:t>onde pulsée</w:t>
      </w:r>
      <w:r w:rsidR="00394129" w:rsidRPr="00367C86">
        <w:rPr>
          <w:rFonts w:ascii="Arial" w:hAnsi="Arial" w:cs="Arial"/>
          <w:sz w:val="20"/>
          <w:szCs w:val="20"/>
        </w:rPr>
        <w:t xml:space="preserve"> est ainsi un signal </w:t>
      </w:r>
      <w:r w:rsidR="00394129" w:rsidRPr="00367C86">
        <w:rPr>
          <w:rStyle w:val="lev"/>
          <w:rFonts w:ascii="Arial" w:hAnsi="Arial" w:cs="Arial"/>
          <w:b w:val="0"/>
          <w:sz w:val="20"/>
          <w:szCs w:val="20"/>
        </w:rPr>
        <w:t>interrompu périodiquement.</w:t>
      </w:r>
    </w:p>
    <w:p w:rsidR="00394129" w:rsidRPr="00367C86" w:rsidRDefault="00A5617D" w:rsidP="00367C86">
      <w:pPr>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 xml:space="preserve">Ce </w:t>
      </w:r>
      <w:r w:rsidRPr="00367C86">
        <w:rPr>
          <w:rFonts w:ascii="Arial" w:eastAsia="Times New Roman" w:hAnsi="Arial" w:cs="Arial"/>
          <w:bCs/>
          <w:sz w:val="20"/>
          <w:szCs w:val="20"/>
          <w:lang w:eastAsia="fr-FR"/>
        </w:rPr>
        <w:t xml:space="preserve">caractère pulsé </w:t>
      </w:r>
      <w:r w:rsidR="00A216B5" w:rsidRPr="00367C86">
        <w:rPr>
          <w:rFonts w:ascii="Arial" w:eastAsia="Times New Roman" w:hAnsi="Arial" w:cs="Arial"/>
          <w:bCs/>
          <w:sz w:val="20"/>
          <w:szCs w:val="20"/>
          <w:lang w:eastAsia="fr-FR"/>
        </w:rPr>
        <w:t>(dit aussi « </w:t>
      </w:r>
      <w:r w:rsidRPr="00367C86">
        <w:rPr>
          <w:rFonts w:ascii="Arial" w:eastAsia="Times New Roman" w:hAnsi="Arial" w:cs="Arial"/>
          <w:bCs/>
          <w:sz w:val="20"/>
          <w:szCs w:val="20"/>
          <w:lang w:eastAsia="fr-FR"/>
        </w:rPr>
        <w:t>en rafale »</w:t>
      </w:r>
      <w:r w:rsidR="008441ED" w:rsidRPr="00367C86">
        <w:rPr>
          <w:rFonts w:ascii="Arial" w:eastAsia="Times New Roman" w:hAnsi="Arial" w:cs="Arial"/>
          <w:bCs/>
          <w:sz w:val="20"/>
          <w:szCs w:val="20"/>
          <w:lang w:eastAsia="fr-FR"/>
        </w:rPr>
        <w:t xml:space="preserve"> lorsqu’il est rapide</w:t>
      </w:r>
      <w:r w:rsidRPr="00367C86">
        <w:rPr>
          <w:rFonts w:ascii="Arial" w:eastAsia="Times New Roman" w:hAnsi="Arial" w:cs="Arial"/>
          <w:bCs/>
          <w:sz w:val="20"/>
          <w:szCs w:val="20"/>
          <w:lang w:eastAsia="fr-FR"/>
        </w:rPr>
        <w:t>)</w:t>
      </w:r>
      <w:r w:rsidRPr="00367C86">
        <w:rPr>
          <w:rFonts w:ascii="Arial" w:eastAsia="Times New Roman" w:hAnsi="Arial" w:cs="Arial"/>
          <w:sz w:val="20"/>
          <w:szCs w:val="20"/>
          <w:lang w:eastAsia="fr-FR"/>
        </w:rPr>
        <w:t xml:space="preserve"> peut produire des </w:t>
      </w:r>
      <w:r w:rsidRPr="00367C86">
        <w:rPr>
          <w:rFonts w:ascii="Arial" w:eastAsia="Times New Roman" w:hAnsi="Arial" w:cs="Arial"/>
          <w:bCs/>
          <w:sz w:val="20"/>
          <w:szCs w:val="20"/>
          <w:lang w:eastAsia="fr-FR"/>
        </w:rPr>
        <w:t>variatio</w:t>
      </w:r>
      <w:r w:rsidR="00A216B5" w:rsidRPr="00367C86">
        <w:rPr>
          <w:rFonts w:ascii="Arial" w:eastAsia="Times New Roman" w:hAnsi="Arial" w:cs="Arial"/>
          <w:bCs/>
          <w:sz w:val="20"/>
          <w:szCs w:val="20"/>
          <w:lang w:eastAsia="fr-FR"/>
        </w:rPr>
        <w:t xml:space="preserve">ns rapides d’intensité du champ </w:t>
      </w:r>
      <w:r w:rsidRPr="00367C86">
        <w:rPr>
          <w:rFonts w:ascii="Arial" w:eastAsia="Times New Roman" w:hAnsi="Arial" w:cs="Arial"/>
          <w:bCs/>
          <w:sz w:val="20"/>
          <w:szCs w:val="20"/>
          <w:lang w:eastAsia="fr-FR"/>
        </w:rPr>
        <w:t>électromagnétique</w:t>
      </w:r>
      <w:r w:rsidR="004F74B9" w:rsidRPr="00367C86">
        <w:rPr>
          <w:rFonts w:ascii="Arial" w:eastAsia="Times New Roman" w:hAnsi="Arial" w:cs="Arial"/>
          <w:sz w:val="20"/>
          <w:szCs w:val="20"/>
          <w:lang w:eastAsia="fr-FR"/>
        </w:rPr>
        <w:t xml:space="preserve"> </w:t>
      </w:r>
      <w:r w:rsidR="00A216B5" w:rsidRPr="00367C86">
        <w:rPr>
          <w:rFonts w:ascii="Arial" w:eastAsia="Times New Roman" w:hAnsi="Arial" w:cs="Arial"/>
          <w:sz w:val="20"/>
          <w:szCs w:val="20"/>
          <w:lang w:eastAsia="fr-FR"/>
        </w:rPr>
        <w:t>et</w:t>
      </w:r>
      <w:r w:rsidRPr="00367C86">
        <w:rPr>
          <w:rFonts w:ascii="Arial" w:eastAsia="Times New Roman" w:hAnsi="Arial" w:cs="Arial"/>
          <w:sz w:val="20"/>
          <w:szCs w:val="20"/>
          <w:lang w:eastAsia="fr-FR"/>
        </w:rPr>
        <w:t xml:space="preserve"> certains chercheurs </w:t>
      </w:r>
      <w:r w:rsidR="00A216B5" w:rsidRPr="00367C86">
        <w:rPr>
          <w:rFonts w:ascii="Arial" w:eastAsia="Times New Roman" w:hAnsi="Arial" w:cs="Arial"/>
          <w:sz w:val="20"/>
          <w:szCs w:val="20"/>
          <w:lang w:eastAsia="fr-FR"/>
        </w:rPr>
        <w:t>l’</w:t>
      </w:r>
      <w:r w:rsidRPr="00367C86">
        <w:rPr>
          <w:rFonts w:ascii="Arial" w:eastAsia="Times New Roman" w:hAnsi="Arial" w:cs="Arial"/>
          <w:sz w:val="20"/>
          <w:szCs w:val="20"/>
          <w:lang w:eastAsia="fr-FR"/>
        </w:rPr>
        <w:t xml:space="preserve">étudient pour leurs </w:t>
      </w:r>
      <w:r w:rsidRPr="00367C86">
        <w:rPr>
          <w:rFonts w:ascii="Arial" w:eastAsia="Times New Roman" w:hAnsi="Arial" w:cs="Arial"/>
          <w:bCs/>
          <w:sz w:val="20"/>
          <w:szCs w:val="20"/>
          <w:lang w:eastAsia="fr-FR"/>
        </w:rPr>
        <w:t>effets biologiques potentiels</w:t>
      </w:r>
      <w:r w:rsidRPr="00367C86">
        <w:rPr>
          <w:rFonts w:ascii="Arial" w:eastAsia="Times New Roman" w:hAnsi="Arial" w:cs="Arial"/>
          <w:sz w:val="20"/>
          <w:szCs w:val="20"/>
          <w:lang w:eastAsia="fr-FR"/>
        </w:rPr>
        <w:t>.</w:t>
      </w:r>
      <w:r w:rsidR="004F74B9" w:rsidRPr="00367C86">
        <w:rPr>
          <w:rFonts w:ascii="Arial" w:eastAsia="Times New Roman" w:hAnsi="Arial" w:cs="Arial"/>
          <w:sz w:val="20"/>
          <w:szCs w:val="20"/>
          <w:lang w:eastAsia="fr-FR"/>
        </w:rPr>
        <w:t xml:space="preserve"> En effet, une </w:t>
      </w:r>
      <w:r w:rsidR="004F74B9" w:rsidRPr="00367C86">
        <w:rPr>
          <w:rFonts w:ascii="Arial" w:eastAsia="Times New Roman" w:hAnsi="Arial" w:cs="Arial"/>
          <w:bCs/>
          <w:sz w:val="20"/>
          <w:szCs w:val="20"/>
          <w:lang w:eastAsia="fr-FR"/>
        </w:rPr>
        <w:t>émission très pulsée</w:t>
      </w:r>
      <w:r w:rsidR="004F74B9" w:rsidRPr="00367C86">
        <w:rPr>
          <w:rFonts w:ascii="Arial" w:eastAsia="Times New Roman" w:hAnsi="Arial" w:cs="Arial"/>
          <w:sz w:val="20"/>
          <w:szCs w:val="20"/>
          <w:lang w:eastAsia="fr-FR"/>
        </w:rPr>
        <w:t xml:space="preserve"> comme en 2G </w:t>
      </w:r>
      <w:r w:rsidR="004F74B9" w:rsidRPr="00367C86">
        <w:rPr>
          <w:rFonts w:ascii="Arial" w:eastAsia="Times New Roman" w:hAnsi="Arial" w:cs="Arial"/>
          <w:bCs/>
          <w:sz w:val="20"/>
          <w:szCs w:val="20"/>
          <w:lang w:eastAsia="fr-FR"/>
        </w:rPr>
        <w:t>avec</w:t>
      </w:r>
      <w:r w:rsidR="004F74B9" w:rsidRPr="00367C86">
        <w:rPr>
          <w:rFonts w:ascii="Arial" w:eastAsia="Times New Roman" w:hAnsi="Arial" w:cs="Arial"/>
          <w:sz w:val="20"/>
          <w:szCs w:val="20"/>
          <w:lang w:eastAsia="fr-FR"/>
        </w:rPr>
        <w:t xml:space="preserve"> un signal </w:t>
      </w:r>
      <w:r w:rsidR="004F74B9" w:rsidRPr="00367C86">
        <w:rPr>
          <w:rFonts w:ascii="Arial" w:eastAsia="Times New Roman" w:hAnsi="Arial" w:cs="Arial"/>
          <w:bCs/>
          <w:sz w:val="20"/>
          <w:szCs w:val="20"/>
          <w:lang w:eastAsia="fr-FR"/>
        </w:rPr>
        <w:t>émis brièvement à intervalles réguliers</w:t>
      </w:r>
      <w:r w:rsidR="00394129" w:rsidRPr="00367C86">
        <w:rPr>
          <w:rFonts w:ascii="Arial" w:eastAsia="Times New Roman" w:hAnsi="Arial" w:cs="Arial"/>
          <w:sz w:val="20"/>
          <w:szCs w:val="20"/>
          <w:lang w:eastAsia="fr-FR"/>
        </w:rPr>
        <w:t xml:space="preserve"> </w:t>
      </w:r>
      <w:r w:rsidR="004F74B9" w:rsidRPr="00367C86">
        <w:rPr>
          <w:rFonts w:ascii="Arial" w:eastAsia="Times New Roman" w:hAnsi="Arial" w:cs="Arial"/>
          <w:sz w:val="20"/>
          <w:szCs w:val="20"/>
          <w:lang w:eastAsia="fr-FR"/>
        </w:rPr>
        <w:t>peut être biologiquement perturbant.</w:t>
      </w:r>
    </w:p>
    <w:p w:rsidR="00A05860" w:rsidRPr="00367C86" w:rsidRDefault="00731050" w:rsidP="00367C86">
      <w:pPr>
        <w:spacing w:before="100" w:beforeAutospacing="1" w:after="100" w:afterAutospacing="1"/>
        <w:ind w:left="0" w:firstLine="0"/>
        <w:rPr>
          <w:rFonts w:ascii="Arial" w:eastAsia="Times New Roman" w:hAnsi="Arial" w:cs="Arial"/>
          <w:sz w:val="20"/>
          <w:szCs w:val="20"/>
          <w:lang w:eastAsia="fr-FR"/>
        </w:rPr>
      </w:pPr>
      <w:r w:rsidRPr="00367C86">
        <w:rPr>
          <w:rFonts w:ascii="Arial" w:hAnsi="Arial" w:cs="Arial"/>
          <w:sz w:val="20"/>
          <w:szCs w:val="20"/>
        </w:rPr>
        <w:t>A noter : i</w:t>
      </w:r>
      <w:r w:rsidR="006B6760" w:rsidRPr="00367C86">
        <w:rPr>
          <w:rFonts w:ascii="Arial" w:hAnsi="Arial" w:cs="Arial"/>
          <w:sz w:val="20"/>
          <w:szCs w:val="20"/>
        </w:rPr>
        <w:t>l est fréquent, parlant du four à micro-onde</w:t>
      </w:r>
      <w:r w:rsidRPr="00367C86">
        <w:rPr>
          <w:rFonts w:ascii="Arial" w:hAnsi="Arial" w:cs="Arial"/>
          <w:sz w:val="20"/>
          <w:szCs w:val="20"/>
        </w:rPr>
        <w:t>s, de parler d’ondes pulsées. En effet, ces ondes</w:t>
      </w:r>
      <w:r w:rsidR="006B6760" w:rsidRPr="00367C86">
        <w:rPr>
          <w:rFonts w:ascii="Arial" w:hAnsi="Arial" w:cs="Arial"/>
          <w:sz w:val="20"/>
          <w:szCs w:val="20"/>
        </w:rPr>
        <w:t xml:space="preserve"> sont émises par </w:t>
      </w:r>
      <w:r w:rsidR="005765FB" w:rsidRPr="00367C86">
        <w:rPr>
          <w:rFonts w:ascii="Arial" w:hAnsi="Arial" w:cs="Arial"/>
          <w:sz w:val="20"/>
          <w:szCs w:val="20"/>
        </w:rPr>
        <w:t>intermittence de puissance</w:t>
      </w:r>
      <w:r w:rsidR="006B6760" w:rsidRPr="00367C86">
        <w:rPr>
          <w:rFonts w:ascii="Arial" w:hAnsi="Arial" w:cs="Arial"/>
          <w:sz w:val="20"/>
          <w:szCs w:val="20"/>
        </w:rPr>
        <w:t xml:space="preserve"> (</w:t>
      </w:r>
      <w:r w:rsidR="006B6760" w:rsidRPr="00367C86">
        <w:rPr>
          <w:rFonts w:ascii="Arial" w:eastAsia="Times New Roman" w:hAnsi="Arial" w:cs="Arial"/>
          <w:sz w:val="20"/>
          <w:szCs w:val="20"/>
          <w:lang w:eastAsia="fr-FR"/>
        </w:rPr>
        <w:t>l</w:t>
      </w:r>
      <w:r w:rsidRPr="00367C86">
        <w:rPr>
          <w:rFonts w:ascii="Arial" w:eastAsia="Times New Roman" w:hAnsi="Arial" w:cs="Arial"/>
          <w:sz w:val="20"/>
          <w:szCs w:val="20"/>
          <w:lang w:eastAsia="fr-FR"/>
        </w:rPr>
        <w:t xml:space="preserve">e dispositif </w:t>
      </w:r>
      <w:r w:rsidR="006B6760" w:rsidRPr="00367C86">
        <w:rPr>
          <w:rFonts w:ascii="Arial" w:eastAsia="Times New Roman" w:hAnsi="Arial" w:cs="Arial"/>
          <w:sz w:val="20"/>
          <w:szCs w:val="20"/>
          <w:lang w:eastAsia="fr-FR"/>
        </w:rPr>
        <w:t xml:space="preserve">qui génère les micro-ondes, ne fonctionne pas en continu mais en cycles, s’allumant et s’éteignant rapidement selon un rythme défini). </w:t>
      </w:r>
      <w:r w:rsidR="00733D29" w:rsidRPr="00367C86">
        <w:rPr>
          <w:rFonts w:ascii="Arial" w:eastAsia="Times New Roman" w:hAnsi="Arial" w:cs="Arial"/>
          <w:sz w:val="20"/>
          <w:szCs w:val="20"/>
          <w:lang w:eastAsia="fr-FR"/>
        </w:rPr>
        <w:t>Donc</w:t>
      </w:r>
      <w:r w:rsidR="00A216B5" w:rsidRPr="00367C86">
        <w:rPr>
          <w:rFonts w:ascii="Arial" w:eastAsia="Times New Roman" w:hAnsi="Arial" w:cs="Arial"/>
          <w:sz w:val="20"/>
          <w:szCs w:val="20"/>
          <w:lang w:eastAsia="fr-FR"/>
        </w:rPr>
        <w:t xml:space="preserve"> d</w:t>
      </w:r>
      <w:r w:rsidR="006B6760" w:rsidRPr="00367C86">
        <w:rPr>
          <w:rFonts w:ascii="Arial" w:eastAsia="Times New Roman" w:hAnsi="Arial" w:cs="Arial"/>
          <w:sz w:val="20"/>
          <w:szCs w:val="20"/>
          <w:lang w:eastAsia="fr-FR"/>
        </w:rPr>
        <w:t>ans le cas du four à micro-ond</w:t>
      </w:r>
      <w:r w:rsidR="005765FB" w:rsidRPr="00367C86">
        <w:rPr>
          <w:rFonts w:ascii="Arial" w:eastAsia="Times New Roman" w:hAnsi="Arial" w:cs="Arial"/>
          <w:sz w:val="20"/>
          <w:szCs w:val="20"/>
          <w:lang w:eastAsia="fr-FR"/>
        </w:rPr>
        <w:t>es, le caractère pulsé</w:t>
      </w:r>
      <w:r w:rsidRPr="00367C86">
        <w:rPr>
          <w:rFonts w:ascii="Arial" w:eastAsia="Times New Roman" w:hAnsi="Arial" w:cs="Arial"/>
          <w:sz w:val="20"/>
          <w:szCs w:val="20"/>
          <w:lang w:eastAsia="fr-FR"/>
        </w:rPr>
        <w:t xml:space="preserve"> </w:t>
      </w:r>
      <w:r w:rsidR="005765FB" w:rsidRPr="00367C86">
        <w:rPr>
          <w:rFonts w:ascii="Arial" w:eastAsia="Times New Roman" w:hAnsi="Arial" w:cs="Arial"/>
          <w:sz w:val="20"/>
          <w:szCs w:val="20"/>
          <w:lang w:eastAsia="fr-FR"/>
        </w:rPr>
        <w:t>concerne</w:t>
      </w:r>
      <w:r w:rsidR="00A216B5" w:rsidRPr="00367C86">
        <w:rPr>
          <w:rFonts w:ascii="Arial" w:eastAsia="Times New Roman" w:hAnsi="Arial" w:cs="Arial"/>
          <w:sz w:val="20"/>
          <w:szCs w:val="20"/>
          <w:lang w:eastAsia="fr-FR"/>
        </w:rPr>
        <w:t xml:space="preserve"> la puissa</w:t>
      </w:r>
      <w:r w:rsidR="00733D29" w:rsidRPr="00367C86">
        <w:rPr>
          <w:rFonts w:ascii="Arial" w:eastAsia="Times New Roman" w:hAnsi="Arial" w:cs="Arial"/>
          <w:sz w:val="20"/>
          <w:szCs w:val="20"/>
          <w:lang w:eastAsia="fr-FR"/>
        </w:rPr>
        <w:t>nce d’émission. Enfin, a</w:t>
      </w:r>
      <w:r w:rsidR="00A216B5" w:rsidRPr="00367C86">
        <w:rPr>
          <w:rFonts w:ascii="Arial" w:eastAsia="Times New Roman" w:hAnsi="Arial" w:cs="Arial"/>
          <w:sz w:val="20"/>
          <w:szCs w:val="20"/>
          <w:lang w:eastAsia="fr-FR"/>
        </w:rPr>
        <w:t xml:space="preserve">insi que nous l’avons vu précédemment, </w:t>
      </w:r>
      <w:r w:rsidR="00733D29" w:rsidRPr="00367C86">
        <w:rPr>
          <w:rFonts w:ascii="Arial" w:eastAsia="Times New Roman" w:hAnsi="Arial" w:cs="Arial"/>
          <w:sz w:val="20"/>
          <w:szCs w:val="20"/>
          <w:lang w:eastAsia="fr-FR"/>
        </w:rPr>
        <w:t>ces ondes</w:t>
      </w:r>
      <w:r w:rsidR="006B6760" w:rsidRPr="00367C86">
        <w:rPr>
          <w:rFonts w:ascii="Arial" w:eastAsia="Times New Roman" w:hAnsi="Arial" w:cs="Arial"/>
          <w:sz w:val="20"/>
          <w:szCs w:val="20"/>
          <w:lang w:eastAsia="fr-FR"/>
        </w:rPr>
        <w:t xml:space="preserve"> ne </w:t>
      </w:r>
      <w:r w:rsidR="005765FB" w:rsidRPr="00367C86">
        <w:rPr>
          <w:rFonts w:ascii="Arial" w:eastAsia="Times New Roman" w:hAnsi="Arial" w:cs="Arial"/>
          <w:sz w:val="20"/>
          <w:szCs w:val="20"/>
          <w:lang w:eastAsia="fr-FR"/>
        </w:rPr>
        <w:t>s</w:t>
      </w:r>
      <w:r w:rsidR="00FB61C2" w:rsidRPr="00367C86">
        <w:rPr>
          <w:rFonts w:ascii="Arial" w:eastAsia="Times New Roman" w:hAnsi="Arial" w:cs="Arial"/>
          <w:sz w:val="20"/>
          <w:szCs w:val="20"/>
          <w:lang w:eastAsia="fr-FR"/>
        </w:rPr>
        <w:t>ont pas modulées par</w:t>
      </w:r>
      <w:r w:rsidR="006B6760" w:rsidRPr="00367C86">
        <w:rPr>
          <w:rFonts w:ascii="Arial" w:eastAsia="Times New Roman" w:hAnsi="Arial" w:cs="Arial"/>
          <w:sz w:val="20"/>
          <w:szCs w:val="20"/>
          <w:lang w:eastAsia="fr-FR"/>
        </w:rPr>
        <w:t xml:space="preserve"> un signal d’information</w:t>
      </w:r>
      <w:r w:rsidR="002C3AB4" w:rsidRPr="00367C86">
        <w:rPr>
          <w:rFonts w:ascii="Arial" w:eastAsia="Times New Roman" w:hAnsi="Arial" w:cs="Arial"/>
          <w:sz w:val="20"/>
          <w:szCs w:val="20"/>
          <w:lang w:eastAsia="fr-FR"/>
        </w:rPr>
        <w:t>,</w:t>
      </w:r>
      <w:r w:rsidR="00A216B5" w:rsidRPr="00367C86">
        <w:rPr>
          <w:rFonts w:ascii="Arial" w:eastAsia="Times New Roman" w:hAnsi="Arial" w:cs="Arial"/>
          <w:sz w:val="20"/>
          <w:szCs w:val="20"/>
          <w:lang w:eastAsia="fr-FR"/>
        </w:rPr>
        <w:t xml:space="preserve"> puisqu’il n’y en a pas.</w:t>
      </w:r>
    </w:p>
    <w:p w:rsidR="006B6760" w:rsidRPr="00367C86" w:rsidRDefault="00A05860" w:rsidP="009F3BB0">
      <w:pPr>
        <w:pStyle w:val="Paragraphedeliste"/>
        <w:numPr>
          <w:ilvl w:val="0"/>
          <w:numId w:val="7"/>
        </w:numPr>
        <w:spacing w:before="100" w:beforeAutospacing="1" w:after="100" w:afterAutospacing="1"/>
        <w:rPr>
          <w:rFonts w:ascii="Arial" w:eastAsia="Times New Roman" w:hAnsi="Arial" w:cs="Arial"/>
          <w:sz w:val="20"/>
          <w:szCs w:val="20"/>
          <w:lang w:eastAsia="fr-FR"/>
        </w:rPr>
      </w:pPr>
      <w:r w:rsidRPr="00367C86">
        <w:rPr>
          <w:rFonts w:ascii="Arial" w:eastAsia="Times New Roman" w:hAnsi="Arial" w:cs="Arial"/>
          <w:sz w:val="20"/>
          <w:szCs w:val="20"/>
          <w:lang w:eastAsia="fr-FR"/>
        </w:rPr>
        <w:t>A</w:t>
      </w:r>
      <w:r w:rsidR="00731050" w:rsidRPr="00367C86">
        <w:rPr>
          <w:rFonts w:ascii="Arial" w:eastAsia="Times New Roman" w:hAnsi="Arial" w:cs="Arial"/>
          <w:sz w:val="20"/>
          <w:szCs w:val="20"/>
          <w:lang w:eastAsia="fr-FR"/>
        </w:rPr>
        <w:t>utres paramètres susceptibles d’avoir une influence sur le fonctionnement d</w:t>
      </w:r>
      <w:r w:rsidR="00FB61C2" w:rsidRPr="00367C86">
        <w:rPr>
          <w:rFonts w:ascii="Arial" w:eastAsia="Times New Roman" w:hAnsi="Arial" w:cs="Arial"/>
          <w:sz w:val="20"/>
          <w:szCs w:val="20"/>
          <w:lang w:eastAsia="fr-FR"/>
        </w:rPr>
        <w:t xml:space="preserve">e nos organismes </w:t>
      </w:r>
      <w:r w:rsidR="00731050" w:rsidRPr="00367C86">
        <w:rPr>
          <w:rFonts w:ascii="Arial" w:eastAsia="Times New Roman" w:hAnsi="Arial" w:cs="Arial"/>
          <w:sz w:val="20"/>
          <w:szCs w:val="20"/>
          <w:lang w:eastAsia="fr-FR"/>
        </w:rPr>
        <w:t>à prendre en compte :</w:t>
      </w:r>
      <w:r w:rsidR="00916B22" w:rsidRPr="00367C86">
        <w:rPr>
          <w:rFonts w:ascii="Arial" w:eastAsia="Times New Roman" w:hAnsi="Arial" w:cs="Arial"/>
          <w:sz w:val="20"/>
          <w:szCs w:val="20"/>
          <w:lang w:eastAsia="fr-FR"/>
        </w:rPr>
        <w:t xml:space="preserve"> </w:t>
      </w:r>
      <w:r w:rsidR="00EC3196" w:rsidRPr="00367C86">
        <w:rPr>
          <w:rFonts w:ascii="Arial" w:eastAsia="Times New Roman" w:hAnsi="Arial" w:cs="Arial"/>
          <w:sz w:val="20"/>
          <w:szCs w:val="20"/>
          <w:lang w:eastAsia="fr-FR"/>
        </w:rPr>
        <w:t>le duty cycle et</w:t>
      </w:r>
      <w:r w:rsidR="00731050" w:rsidRPr="00367C86">
        <w:rPr>
          <w:rFonts w:ascii="Arial" w:eastAsia="Times New Roman" w:hAnsi="Arial" w:cs="Arial"/>
          <w:sz w:val="20"/>
          <w:szCs w:val="20"/>
          <w:lang w:eastAsia="fr-FR"/>
        </w:rPr>
        <w:t xml:space="preserve"> le</w:t>
      </w:r>
      <w:r w:rsidR="00EC3196" w:rsidRPr="00367C86">
        <w:rPr>
          <w:rFonts w:ascii="Arial" w:eastAsia="Times New Roman" w:hAnsi="Arial" w:cs="Arial"/>
          <w:sz w:val="20"/>
          <w:szCs w:val="20"/>
          <w:lang w:eastAsia="fr-FR"/>
        </w:rPr>
        <w:t xml:space="preserve"> débit binaire</w:t>
      </w:r>
      <w:r w:rsidR="00731050" w:rsidRPr="00367C86">
        <w:rPr>
          <w:rFonts w:ascii="Arial" w:eastAsia="Times New Roman" w:hAnsi="Arial" w:cs="Arial"/>
          <w:sz w:val="20"/>
          <w:szCs w:val="20"/>
          <w:lang w:eastAsia="fr-FR"/>
        </w:rPr>
        <w:t>.</w:t>
      </w:r>
    </w:p>
    <w:p w:rsidR="00FB61C2" w:rsidRPr="00367C86" w:rsidRDefault="00916B22" w:rsidP="00367C86">
      <w:pPr>
        <w:shd w:val="clear" w:color="auto" w:fill="FFFFFF"/>
        <w:spacing w:before="100" w:beforeAutospacing="1" w:after="100" w:afterAutospacing="1"/>
        <w:ind w:left="0" w:firstLine="0"/>
        <w:rPr>
          <w:rFonts w:ascii="Arial" w:hAnsi="Arial" w:cs="Arial"/>
          <w:sz w:val="20"/>
          <w:szCs w:val="20"/>
        </w:rPr>
      </w:pPr>
      <w:r w:rsidRPr="00367C86">
        <w:rPr>
          <w:rFonts w:ascii="Arial" w:eastAsia="Times New Roman" w:hAnsi="Arial" w:cs="Arial"/>
          <w:sz w:val="20"/>
          <w:szCs w:val="20"/>
          <w:lang w:eastAsia="fr-FR"/>
        </w:rPr>
        <w:t>Le duty cycle correspond au pourcentage du temps pendant lequel un signal e</w:t>
      </w:r>
      <w:r w:rsidR="00FA16DE" w:rsidRPr="00367C86">
        <w:rPr>
          <w:rFonts w:ascii="Arial" w:eastAsia="Times New Roman" w:hAnsi="Arial" w:cs="Arial"/>
          <w:sz w:val="20"/>
          <w:szCs w:val="20"/>
          <w:lang w:eastAsia="fr-FR"/>
        </w:rPr>
        <w:t xml:space="preserve">st actif (“ON”) </w:t>
      </w:r>
      <w:r w:rsidRPr="00367C86">
        <w:rPr>
          <w:rFonts w:ascii="Arial" w:eastAsia="Times New Roman" w:hAnsi="Arial" w:cs="Arial"/>
          <w:sz w:val="20"/>
          <w:szCs w:val="20"/>
          <w:lang w:eastAsia="fr-FR"/>
        </w:rPr>
        <w:t xml:space="preserve">dans un cycle. </w:t>
      </w:r>
      <w:r w:rsidR="00FA16DE" w:rsidRPr="00367C86">
        <w:rPr>
          <w:rFonts w:ascii="Arial" w:eastAsia="Times New Roman" w:hAnsi="Arial" w:cs="Arial"/>
          <w:sz w:val="20"/>
          <w:szCs w:val="20"/>
          <w:lang w:eastAsia="fr-FR"/>
        </w:rPr>
        <w:t>Autrement dit, i</w:t>
      </w:r>
      <w:r w:rsidR="00FA16DE" w:rsidRPr="00367C86">
        <w:rPr>
          <w:rFonts w:ascii="Arial" w:hAnsi="Arial" w:cs="Arial"/>
          <w:sz w:val="20"/>
          <w:szCs w:val="20"/>
        </w:rPr>
        <w:t>l</w:t>
      </w:r>
      <w:r w:rsidRPr="00367C86">
        <w:rPr>
          <w:rFonts w:ascii="Arial" w:hAnsi="Arial" w:cs="Arial"/>
          <w:sz w:val="20"/>
          <w:szCs w:val="20"/>
        </w:rPr>
        <w:t xml:space="preserve"> représente la fraction du temps pendant laquelle une source émet effectivement un signal électromagnétique</w:t>
      </w:r>
      <w:r w:rsidR="00FA16DE" w:rsidRPr="00367C86">
        <w:rPr>
          <w:rFonts w:ascii="Arial" w:hAnsi="Arial" w:cs="Arial"/>
          <w:sz w:val="20"/>
          <w:szCs w:val="20"/>
        </w:rPr>
        <w:t xml:space="preserve"> et permet par conséquent d’évaluer l’exposition réelle des tissus biologiques (</w:t>
      </w:r>
      <w:r w:rsidRPr="00367C86">
        <w:rPr>
          <w:rFonts w:ascii="Arial" w:hAnsi="Arial" w:cs="Arial"/>
          <w:sz w:val="20"/>
          <w:szCs w:val="20"/>
        </w:rPr>
        <w:t xml:space="preserve">mesure de </w:t>
      </w:r>
      <w:r w:rsidR="00FA16DE" w:rsidRPr="00367C86">
        <w:rPr>
          <w:rFonts w:ascii="Arial" w:hAnsi="Arial" w:cs="Arial"/>
          <w:sz w:val="20"/>
          <w:szCs w:val="20"/>
        </w:rPr>
        <w:t xml:space="preserve">l’intermittence de l’exposition). Ce paramètre permet ainsi </w:t>
      </w:r>
      <w:r w:rsidR="00FA16DE" w:rsidRPr="00367C86">
        <w:rPr>
          <w:rStyle w:val="lev"/>
          <w:rFonts w:ascii="Arial" w:hAnsi="Arial" w:cs="Arial"/>
          <w:b w:val="0"/>
          <w:sz w:val="20"/>
          <w:szCs w:val="20"/>
        </w:rPr>
        <w:t>de distinguer les effets d'une émission continue par rapport à ceux d’une émission pulsée</w:t>
      </w:r>
      <w:r w:rsidR="00FA16DE" w:rsidRPr="00367C86">
        <w:rPr>
          <w:rFonts w:ascii="Arial" w:hAnsi="Arial" w:cs="Arial"/>
          <w:sz w:val="20"/>
          <w:szCs w:val="20"/>
        </w:rPr>
        <w:t xml:space="preserve"> à puissance moyenne égale.</w:t>
      </w:r>
      <w:r w:rsidR="00394129" w:rsidRPr="00367C86">
        <w:rPr>
          <w:rFonts w:ascii="Arial" w:hAnsi="Arial" w:cs="Arial"/>
          <w:sz w:val="20"/>
          <w:szCs w:val="20"/>
        </w:rPr>
        <w:t xml:space="preserve"> Il s’agit d’un </w:t>
      </w:r>
      <w:r w:rsidR="00394129" w:rsidRPr="00367C86">
        <w:rPr>
          <w:rStyle w:val="lev"/>
          <w:rFonts w:ascii="Arial" w:hAnsi="Arial" w:cs="Arial"/>
          <w:b w:val="0"/>
          <w:sz w:val="20"/>
          <w:szCs w:val="20"/>
        </w:rPr>
        <w:t>paramètre quantitatif</w:t>
      </w:r>
      <w:r w:rsidR="00394129" w:rsidRPr="00367C86">
        <w:rPr>
          <w:rFonts w:ascii="Arial" w:hAnsi="Arial" w:cs="Arial"/>
          <w:b/>
          <w:sz w:val="20"/>
          <w:szCs w:val="20"/>
        </w:rPr>
        <w:t xml:space="preserve"> </w:t>
      </w:r>
      <w:r w:rsidR="00394129" w:rsidRPr="00367C86">
        <w:rPr>
          <w:rFonts w:ascii="Arial" w:hAnsi="Arial" w:cs="Arial"/>
          <w:sz w:val="20"/>
          <w:szCs w:val="20"/>
        </w:rPr>
        <w:t xml:space="preserve">et se distingue du paramètre pulsé ou non du signal qui est </w:t>
      </w:r>
      <w:r w:rsidR="00DC0C8B" w:rsidRPr="00367C86">
        <w:rPr>
          <w:rFonts w:ascii="Arial" w:hAnsi="Arial" w:cs="Arial"/>
          <w:sz w:val="20"/>
          <w:szCs w:val="20"/>
        </w:rPr>
        <w:t xml:space="preserve">un paramètre </w:t>
      </w:r>
      <w:r w:rsidR="00394129" w:rsidRPr="00367C86">
        <w:rPr>
          <w:rFonts w:ascii="Arial" w:hAnsi="Arial" w:cs="Arial"/>
          <w:sz w:val="20"/>
          <w:szCs w:val="20"/>
        </w:rPr>
        <w:t>qualitatif.</w:t>
      </w:r>
    </w:p>
    <w:p w:rsidR="00916B22" w:rsidRPr="00367C86" w:rsidRDefault="00DC0C8B" w:rsidP="00367C86">
      <w:pPr>
        <w:shd w:val="clear" w:color="auto" w:fill="FFFFFF"/>
        <w:spacing w:before="100" w:beforeAutospacing="1" w:after="100" w:afterAutospacing="1"/>
        <w:ind w:left="0" w:firstLine="0"/>
        <w:rPr>
          <w:rFonts w:ascii="Arial" w:hAnsi="Arial" w:cs="Arial"/>
          <w:sz w:val="20"/>
          <w:szCs w:val="20"/>
        </w:rPr>
      </w:pPr>
      <w:r w:rsidRPr="00367C86">
        <w:rPr>
          <w:rFonts w:ascii="Arial" w:hAnsi="Arial" w:cs="Arial"/>
          <w:sz w:val="20"/>
          <w:szCs w:val="20"/>
        </w:rPr>
        <w:t>A noter, le Duty cycle</w:t>
      </w:r>
      <w:r w:rsidR="00FA16DE" w:rsidRPr="00367C86">
        <w:rPr>
          <w:rFonts w:ascii="Arial" w:hAnsi="Arial" w:cs="Arial"/>
          <w:sz w:val="20"/>
          <w:szCs w:val="20"/>
        </w:rPr>
        <w:t xml:space="preserve"> </w:t>
      </w:r>
      <w:r w:rsidR="00916B22" w:rsidRPr="00367C86">
        <w:rPr>
          <w:rFonts w:ascii="Arial" w:eastAsia="Times New Roman" w:hAnsi="Arial" w:cs="Arial"/>
          <w:sz w:val="20"/>
          <w:szCs w:val="20"/>
          <w:lang w:eastAsia="fr-FR"/>
        </w:rPr>
        <w:t>varie en fonction du trafic, c'est-à-dire de la sollicitation du réseau par ses utilisateurs</w:t>
      </w:r>
      <w:r w:rsidR="00FA16DE" w:rsidRPr="00367C86">
        <w:rPr>
          <w:rFonts w:ascii="Arial" w:eastAsia="Times New Roman" w:hAnsi="Arial" w:cs="Arial"/>
          <w:sz w:val="20"/>
          <w:szCs w:val="20"/>
          <w:lang w:eastAsia="fr-FR"/>
        </w:rPr>
        <w:t>, différents scenarii seraien</w:t>
      </w:r>
      <w:r w:rsidR="00916B22" w:rsidRPr="00367C86">
        <w:rPr>
          <w:rFonts w:ascii="Arial" w:eastAsia="Times New Roman" w:hAnsi="Arial" w:cs="Arial"/>
          <w:sz w:val="20"/>
          <w:szCs w:val="20"/>
          <w:lang w:eastAsia="fr-FR"/>
        </w:rPr>
        <w:t>t donc à prévoir</w:t>
      </w:r>
      <w:r w:rsidR="00FA16DE" w:rsidRPr="00367C86">
        <w:rPr>
          <w:rFonts w:ascii="Arial" w:eastAsia="Times New Roman" w:hAnsi="Arial" w:cs="Arial"/>
          <w:sz w:val="20"/>
          <w:szCs w:val="20"/>
          <w:lang w:eastAsia="fr-FR"/>
        </w:rPr>
        <w:t xml:space="preserve"> dans le cadre d</w:t>
      </w:r>
      <w:r w:rsidR="00AC672F" w:rsidRPr="00367C86">
        <w:rPr>
          <w:rFonts w:ascii="Arial" w:eastAsia="Times New Roman" w:hAnsi="Arial" w:cs="Arial"/>
          <w:sz w:val="20"/>
          <w:szCs w:val="20"/>
          <w:lang w:eastAsia="fr-FR"/>
        </w:rPr>
        <w:t>es études à mener</w:t>
      </w:r>
      <w:r w:rsidR="00FA16DE" w:rsidRPr="00367C86">
        <w:rPr>
          <w:rFonts w:ascii="Arial" w:eastAsia="Times New Roman" w:hAnsi="Arial" w:cs="Arial"/>
          <w:sz w:val="20"/>
          <w:szCs w:val="20"/>
          <w:lang w:eastAsia="fr-FR"/>
        </w:rPr>
        <w:t>.</w:t>
      </w:r>
    </w:p>
    <w:p w:rsidR="00DF311E" w:rsidRPr="00367C86" w:rsidRDefault="00DC0C8B" w:rsidP="00367C86">
      <w:pPr>
        <w:shd w:val="clear" w:color="auto" w:fill="FFFFFF"/>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Quant</w:t>
      </w:r>
      <w:r w:rsidR="00DF311E" w:rsidRPr="00367C86">
        <w:rPr>
          <w:rFonts w:ascii="Arial" w:eastAsia="Times New Roman" w:hAnsi="Arial" w:cs="Arial"/>
          <w:sz w:val="20"/>
          <w:szCs w:val="20"/>
          <w:lang w:eastAsia="fr-FR"/>
        </w:rPr>
        <w:t xml:space="preserve"> au débit binaire, il pourrait permettre d’établir, en fonction d’une durée</w:t>
      </w:r>
      <w:r w:rsidR="001760C3" w:rsidRPr="00367C86">
        <w:rPr>
          <w:rFonts w:ascii="Arial" w:eastAsia="Times New Roman" w:hAnsi="Arial" w:cs="Arial"/>
          <w:sz w:val="20"/>
          <w:szCs w:val="20"/>
          <w:lang w:eastAsia="fr-FR"/>
        </w:rPr>
        <w:t xml:space="preserve"> (par exemple </w:t>
      </w:r>
      <w:r w:rsidR="00DF311E" w:rsidRPr="00367C86">
        <w:rPr>
          <w:rFonts w:ascii="Arial" w:eastAsia="Times New Roman" w:hAnsi="Arial" w:cs="Arial"/>
          <w:sz w:val="20"/>
          <w:szCs w:val="20"/>
          <w:lang w:eastAsia="fr-FR"/>
        </w:rPr>
        <w:t>pour le transfert d’un fichier</w:t>
      </w:r>
      <w:r w:rsidR="001760C3" w:rsidRPr="00367C86">
        <w:rPr>
          <w:rFonts w:ascii="Arial" w:eastAsia="Times New Roman" w:hAnsi="Arial" w:cs="Arial"/>
          <w:sz w:val="20"/>
          <w:szCs w:val="20"/>
          <w:lang w:eastAsia="fr-FR"/>
        </w:rPr>
        <w:t>)</w:t>
      </w:r>
      <w:r w:rsidR="00DF311E" w:rsidRPr="00367C86">
        <w:rPr>
          <w:rFonts w:ascii="Arial" w:eastAsia="Times New Roman" w:hAnsi="Arial" w:cs="Arial"/>
          <w:sz w:val="20"/>
          <w:szCs w:val="20"/>
          <w:lang w:eastAsia="fr-FR"/>
        </w:rPr>
        <w:t xml:space="preserve">, un débit de données transmises, ce qui pourrait permettre d’établir un nouvel indicateur </w:t>
      </w:r>
      <w:r w:rsidR="001760C3" w:rsidRPr="00367C86">
        <w:rPr>
          <w:rFonts w:ascii="Arial" w:eastAsia="Times New Roman" w:hAnsi="Arial" w:cs="Arial"/>
          <w:sz w:val="20"/>
          <w:szCs w:val="20"/>
          <w:lang w:eastAsia="fr-FR"/>
        </w:rPr>
        <w:t>qui, au regard d’éventuels effets observés, pourrait constituer</w:t>
      </w:r>
      <w:r w:rsidR="00DF311E" w:rsidRPr="00367C86">
        <w:rPr>
          <w:rFonts w:ascii="Arial" w:eastAsia="Times New Roman" w:hAnsi="Arial" w:cs="Arial"/>
          <w:sz w:val="20"/>
          <w:szCs w:val="20"/>
          <w:lang w:eastAsia="fr-FR"/>
        </w:rPr>
        <w:t xml:space="preserve"> une évaluation </w:t>
      </w:r>
      <w:r w:rsidR="00AC672F" w:rsidRPr="00367C86">
        <w:rPr>
          <w:rFonts w:ascii="Arial" w:eastAsia="Times New Roman" w:hAnsi="Arial" w:cs="Arial"/>
          <w:sz w:val="20"/>
          <w:szCs w:val="20"/>
          <w:lang w:eastAsia="fr-FR"/>
        </w:rPr>
        <w:t>de la relation dose-réponse</w:t>
      </w:r>
      <w:r w:rsidR="00DF311E" w:rsidRPr="00367C86">
        <w:rPr>
          <w:rFonts w:ascii="Arial" w:eastAsia="Times New Roman" w:hAnsi="Arial" w:cs="Arial"/>
          <w:sz w:val="20"/>
          <w:szCs w:val="20"/>
          <w:lang w:eastAsia="fr-FR"/>
        </w:rPr>
        <w:t>. Cette proposition</w:t>
      </w:r>
      <w:r w:rsidR="00DF311E" w:rsidRPr="00367C86">
        <w:rPr>
          <w:rStyle w:val="Appelnotedebasdep"/>
          <w:rFonts w:ascii="Arial" w:eastAsia="Times New Roman" w:hAnsi="Arial" w:cs="Arial"/>
          <w:sz w:val="20"/>
          <w:szCs w:val="20"/>
          <w:lang w:eastAsia="fr-FR"/>
        </w:rPr>
        <w:footnoteReference w:id="21"/>
      </w:r>
      <w:r w:rsidR="00DF311E" w:rsidRPr="00367C86">
        <w:rPr>
          <w:rFonts w:ascii="Arial" w:eastAsia="Times New Roman" w:hAnsi="Arial" w:cs="Arial"/>
          <w:sz w:val="20"/>
          <w:szCs w:val="20"/>
          <w:lang w:eastAsia="fr-FR"/>
        </w:rPr>
        <w:t xml:space="preserve"> pourrait être envisagée car plus nous avons de transferts de données, plus l’onde aura une modulation multiplexée, plus il y aura de brusques variations de champs électromagnétiques : serait-il possible que nos organes sensibles</w:t>
      </w:r>
      <w:r w:rsidRPr="00367C86">
        <w:rPr>
          <w:rFonts w:ascii="Arial" w:eastAsia="Times New Roman" w:hAnsi="Arial" w:cs="Arial"/>
          <w:sz w:val="20"/>
          <w:szCs w:val="20"/>
          <w:lang w:eastAsia="fr-FR"/>
        </w:rPr>
        <w:t>, et nos cellules,</w:t>
      </w:r>
      <w:r w:rsidR="00DF311E" w:rsidRPr="00367C86">
        <w:rPr>
          <w:rFonts w:ascii="Arial" w:eastAsia="Times New Roman" w:hAnsi="Arial" w:cs="Arial"/>
          <w:sz w:val="20"/>
          <w:szCs w:val="20"/>
          <w:lang w:eastAsia="fr-FR"/>
        </w:rPr>
        <w:t xml:space="preserve"> </w:t>
      </w:r>
      <w:r w:rsidR="001760C3" w:rsidRPr="00367C86">
        <w:rPr>
          <w:rFonts w:ascii="Arial" w:eastAsia="Times New Roman" w:hAnsi="Arial" w:cs="Arial"/>
          <w:sz w:val="20"/>
          <w:szCs w:val="20"/>
          <w:lang w:eastAsia="fr-FR"/>
        </w:rPr>
        <w:t>l</w:t>
      </w:r>
      <w:r w:rsidR="00DF311E" w:rsidRPr="00367C86">
        <w:rPr>
          <w:rFonts w:ascii="Arial" w:eastAsia="Times New Roman" w:hAnsi="Arial" w:cs="Arial"/>
          <w:sz w:val="20"/>
          <w:szCs w:val="20"/>
          <w:lang w:eastAsia="fr-FR"/>
        </w:rPr>
        <w:t>es perçoivent</w:t>
      </w:r>
      <w:r w:rsidR="001760C3" w:rsidRPr="00367C86">
        <w:rPr>
          <w:rFonts w:ascii="Arial" w:eastAsia="Times New Roman" w:hAnsi="Arial" w:cs="Arial"/>
          <w:sz w:val="20"/>
          <w:szCs w:val="20"/>
          <w:lang w:eastAsia="fr-FR"/>
        </w:rPr>
        <w:t> ?</w:t>
      </w:r>
    </w:p>
    <w:p w:rsidR="0070302F" w:rsidRPr="00367C86" w:rsidRDefault="00CF2776" w:rsidP="00367C86">
      <w:pPr>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De l</w:t>
      </w:r>
      <w:r w:rsidR="0070302F" w:rsidRPr="00367C86">
        <w:rPr>
          <w:rFonts w:ascii="Arial" w:eastAsia="Times New Roman" w:hAnsi="Arial" w:cs="Arial"/>
          <w:sz w:val="20"/>
          <w:szCs w:val="20"/>
          <w:lang w:eastAsia="fr-FR"/>
        </w:rPr>
        <w:t>’</w:t>
      </w:r>
      <w:r w:rsidR="004A4AD8" w:rsidRPr="00367C86">
        <w:rPr>
          <w:rFonts w:ascii="Arial" w:eastAsia="Times New Roman" w:hAnsi="Arial" w:cs="Arial"/>
          <w:sz w:val="20"/>
          <w:szCs w:val="20"/>
          <w:lang w:eastAsia="fr-FR"/>
        </w:rPr>
        <w:t>ensemble de ces paramètres</w:t>
      </w:r>
      <w:r w:rsidR="00AC672F" w:rsidRPr="00367C86">
        <w:rPr>
          <w:rFonts w:ascii="Arial" w:eastAsia="Times New Roman" w:hAnsi="Arial" w:cs="Arial"/>
          <w:sz w:val="20"/>
          <w:szCs w:val="20"/>
          <w:lang w:eastAsia="fr-FR"/>
        </w:rPr>
        <w:t xml:space="preserve"> </w:t>
      </w:r>
      <w:r w:rsidR="00C97BA2" w:rsidRPr="00367C86">
        <w:rPr>
          <w:rFonts w:ascii="Arial" w:eastAsia="Times New Roman" w:hAnsi="Arial" w:cs="Arial"/>
          <w:sz w:val="20"/>
          <w:szCs w:val="20"/>
          <w:lang w:eastAsia="fr-FR"/>
        </w:rPr>
        <w:t>peuvent dépendre de potentiels</w:t>
      </w:r>
      <w:r w:rsidR="009748FF" w:rsidRPr="00367C86">
        <w:rPr>
          <w:rFonts w:ascii="Arial" w:eastAsia="Times New Roman" w:hAnsi="Arial" w:cs="Arial"/>
          <w:sz w:val="20"/>
          <w:szCs w:val="20"/>
          <w:lang w:eastAsia="fr-FR"/>
        </w:rPr>
        <w:t xml:space="preserve"> effets b</w:t>
      </w:r>
      <w:r w:rsidR="00C97BA2" w:rsidRPr="00367C86">
        <w:rPr>
          <w:rFonts w:ascii="Arial" w:eastAsia="Times New Roman" w:hAnsi="Arial" w:cs="Arial"/>
          <w:sz w:val="20"/>
          <w:szCs w:val="20"/>
          <w:lang w:eastAsia="fr-FR"/>
        </w:rPr>
        <w:t>ioélectromag</w:t>
      </w:r>
      <w:r w:rsidRPr="00367C86">
        <w:rPr>
          <w:rFonts w:ascii="Arial" w:eastAsia="Times New Roman" w:hAnsi="Arial" w:cs="Arial"/>
          <w:sz w:val="20"/>
          <w:szCs w:val="20"/>
          <w:lang w:eastAsia="fr-FR"/>
        </w:rPr>
        <w:t>nétiques : ils sont</w:t>
      </w:r>
      <w:r w:rsidR="004A4AD8" w:rsidRPr="00367C86">
        <w:rPr>
          <w:rFonts w:ascii="Arial" w:eastAsia="Times New Roman" w:hAnsi="Arial" w:cs="Arial"/>
          <w:sz w:val="20"/>
          <w:szCs w:val="20"/>
          <w:lang w:eastAsia="fr-FR"/>
        </w:rPr>
        <w:t xml:space="preserve"> </w:t>
      </w:r>
      <w:r w:rsidR="00A434E1" w:rsidRPr="00367C86">
        <w:rPr>
          <w:rFonts w:ascii="Arial" w:eastAsia="Times New Roman" w:hAnsi="Arial" w:cs="Arial"/>
          <w:sz w:val="20"/>
          <w:szCs w:val="20"/>
          <w:lang w:eastAsia="fr-FR"/>
        </w:rPr>
        <w:t xml:space="preserve">tous </w:t>
      </w:r>
      <w:r w:rsidR="004A4AD8" w:rsidRPr="00367C86">
        <w:rPr>
          <w:rFonts w:ascii="Arial" w:eastAsia="Times New Roman" w:hAnsi="Arial" w:cs="Arial"/>
          <w:sz w:val="20"/>
          <w:szCs w:val="20"/>
          <w:lang w:eastAsia="fr-FR"/>
        </w:rPr>
        <w:t>repris et expliqué</w:t>
      </w:r>
      <w:r w:rsidRPr="00367C86">
        <w:rPr>
          <w:rFonts w:ascii="Arial" w:eastAsia="Times New Roman" w:hAnsi="Arial" w:cs="Arial"/>
          <w:sz w:val="20"/>
          <w:szCs w:val="20"/>
          <w:lang w:eastAsia="fr-FR"/>
        </w:rPr>
        <w:t>s</w:t>
      </w:r>
      <w:r w:rsidR="0070302F" w:rsidRPr="00367C86">
        <w:rPr>
          <w:rFonts w:ascii="Arial" w:eastAsia="Times New Roman" w:hAnsi="Arial" w:cs="Arial"/>
          <w:sz w:val="20"/>
          <w:szCs w:val="20"/>
          <w:lang w:eastAsia="fr-FR"/>
        </w:rPr>
        <w:t xml:space="preserve"> dans un tableau à l’</w:t>
      </w:r>
      <w:r w:rsidR="004F74B9" w:rsidRPr="00367C86">
        <w:rPr>
          <w:rFonts w:ascii="Arial" w:eastAsia="Times New Roman" w:hAnsi="Arial" w:cs="Arial"/>
          <w:sz w:val="20"/>
          <w:szCs w:val="20"/>
          <w:lang w:eastAsia="fr-FR"/>
        </w:rPr>
        <w:t>a</w:t>
      </w:r>
      <w:r w:rsidR="0070302F" w:rsidRPr="00367C86">
        <w:rPr>
          <w:rFonts w:ascii="Arial" w:eastAsia="Times New Roman" w:hAnsi="Arial" w:cs="Arial"/>
          <w:sz w:val="20"/>
          <w:szCs w:val="20"/>
          <w:lang w:eastAsia="fr-FR"/>
        </w:rPr>
        <w:t xml:space="preserve">nnexe </w:t>
      </w:r>
      <w:r w:rsidR="004A4AD8" w:rsidRPr="00367C86">
        <w:rPr>
          <w:rFonts w:ascii="Arial" w:eastAsia="Times New Roman" w:hAnsi="Arial" w:cs="Arial"/>
          <w:sz w:val="20"/>
          <w:szCs w:val="20"/>
          <w:lang w:eastAsia="fr-FR"/>
        </w:rPr>
        <w:t xml:space="preserve">9. </w:t>
      </w:r>
    </w:p>
    <w:p w:rsidR="004F74B9" w:rsidRPr="00367C86" w:rsidRDefault="00AC672F" w:rsidP="00367C86">
      <w:pPr>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lastRenderedPageBreak/>
        <w:t>A noter :</w:t>
      </w:r>
      <w:r w:rsidR="00CF2776" w:rsidRPr="00367C86">
        <w:rPr>
          <w:rFonts w:ascii="Arial" w:eastAsia="Times New Roman" w:hAnsi="Arial" w:cs="Arial"/>
          <w:sz w:val="20"/>
          <w:szCs w:val="20"/>
          <w:lang w:eastAsia="fr-FR"/>
        </w:rPr>
        <w:t xml:space="preserve"> </w:t>
      </w:r>
      <w:r w:rsidR="004F74B9" w:rsidRPr="00367C86">
        <w:rPr>
          <w:rFonts w:ascii="Arial" w:eastAsia="Times New Roman" w:hAnsi="Arial" w:cs="Arial"/>
          <w:sz w:val="20"/>
          <w:szCs w:val="20"/>
          <w:lang w:eastAsia="fr-FR"/>
        </w:rPr>
        <w:t>à l</w:t>
      </w:r>
      <w:r w:rsidR="00CF2776" w:rsidRPr="00367C86">
        <w:rPr>
          <w:rFonts w:ascii="Arial" w:eastAsia="Times New Roman" w:hAnsi="Arial" w:cs="Arial"/>
          <w:sz w:val="20"/>
          <w:szCs w:val="20"/>
          <w:lang w:eastAsia="fr-FR"/>
        </w:rPr>
        <w:t>a lecture d</w:t>
      </w:r>
      <w:r w:rsidR="007F0CC7" w:rsidRPr="00367C86">
        <w:rPr>
          <w:rFonts w:ascii="Arial" w:eastAsia="Times New Roman" w:hAnsi="Arial" w:cs="Arial"/>
          <w:sz w:val="20"/>
          <w:szCs w:val="20"/>
          <w:lang w:eastAsia="fr-FR"/>
        </w:rPr>
        <w:t>’</w:t>
      </w:r>
      <w:r w:rsidR="00CF2776" w:rsidRPr="00367C86">
        <w:rPr>
          <w:rFonts w:ascii="Arial" w:eastAsia="Times New Roman" w:hAnsi="Arial" w:cs="Arial"/>
          <w:sz w:val="20"/>
          <w:szCs w:val="20"/>
          <w:lang w:eastAsia="fr-FR"/>
        </w:rPr>
        <w:t>u</w:t>
      </w:r>
      <w:r w:rsidR="007F0CC7" w:rsidRPr="00367C86">
        <w:rPr>
          <w:rFonts w:ascii="Arial" w:eastAsia="Times New Roman" w:hAnsi="Arial" w:cs="Arial"/>
          <w:sz w:val="20"/>
          <w:szCs w:val="20"/>
          <w:lang w:eastAsia="fr-FR"/>
        </w:rPr>
        <w:t xml:space="preserve">n tableau </w:t>
      </w:r>
      <w:r w:rsidR="00DC0C8B" w:rsidRPr="00367C86">
        <w:rPr>
          <w:rFonts w:ascii="Arial" w:eastAsia="Times New Roman" w:hAnsi="Arial" w:cs="Arial"/>
          <w:sz w:val="20"/>
          <w:szCs w:val="20"/>
          <w:lang w:eastAsia="fr-FR"/>
        </w:rPr>
        <w:t xml:space="preserve">(annexe 10) </w:t>
      </w:r>
      <w:r w:rsidR="007F0CC7" w:rsidRPr="00367C86">
        <w:rPr>
          <w:rFonts w:ascii="Arial" w:eastAsia="Times New Roman" w:hAnsi="Arial" w:cs="Arial"/>
          <w:sz w:val="20"/>
          <w:szCs w:val="20"/>
          <w:lang w:eastAsia="fr-FR"/>
        </w:rPr>
        <w:t xml:space="preserve">reprenant </w:t>
      </w:r>
      <w:r w:rsidR="00CF2776" w:rsidRPr="00367C86">
        <w:rPr>
          <w:rFonts w:ascii="Arial" w:eastAsia="Times New Roman" w:hAnsi="Arial" w:cs="Arial"/>
          <w:sz w:val="20"/>
          <w:szCs w:val="20"/>
          <w:lang w:eastAsia="fr-FR"/>
        </w:rPr>
        <w:t>de façon synthétique l</w:t>
      </w:r>
      <w:r w:rsidR="004F74B9" w:rsidRPr="00367C86">
        <w:rPr>
          <w:rFonts w:ascii="Arial" w:eastAsia="Times New Roman" w:hAnsi="Arial" w:cs="Arial"/>
          <w:sz w:val="20"/>
          <w:szCs w:val="20"/>
          <w:lang w:eastAsia="fr-FR"/>
        </w:rPr>
        <w:t>es détails techniques par génératio</w:t>
      </w:r>
      <w:r w:rsidR="00CF2776" w:rsidRPr="00367C86">
        <w:rPr>
          <w:rFonts w:ascii="Arial" w:eastAsia="Times New Roman" w:hAnsi="Arial" w:cs="Arial"/>
          <w:sz w:val="20"/>
          <w:szCs w:val="20"/>
          <w:lang w:eastAsia="fr-FR"/>
        </w:rPr>
        <w:t xml:space="preserve">n de téléphonie mobile et </w:t>
      </w:r>
      <w:r w:rsidR="001760C3" w:rsidRPr="00367C86">
        <w:rPr>
          <w:rFonts w:ascii="Arial" w:eastAsia="Times New Roman" w:hAnsi="Arial" w:cs="Arial"/>
          <w:sz w:val="20"/>
          <w:szCs w:val="20"/>
          <w:lang w:eastAsia="fr-FR"/>
        </w:rPr>
        <w:t xml:space="preserve">pour </w:t>
      </w:r>
      <w:r w:rsidR="007F0CC7" w:rsidRPr="00367C86">
        <w:rPr>
          <w:rFonts w:ascii="Arial" w:eastAsia="Times New Roman" w:hAnsi="Arial" w:cs="Arial"/>
          <w:sz w:val="20"/>
          <w:szCs w:val="20"/>
          <w:lang w:eastAsia="fr-FR"/>
        </w:rPr>
        <w:t>le Wifi</w:t>
      </w:r>
      <w:r w:rsidR="00CF2776" w:rsidRPr="00367C86">
        <w:rPr>
          <w:rFonts w:ascii="Arial" w:eastAsia="Times New Roman" w:hAnsi="Arial" w:cs="Arial"/>
          <w:sz w:val="20"/>
          <w:szCs w:val="20"/>
          <w:lang w:eastAsia="fr-FR"/>
        </w:rPr>
        <w:t>, nous pouvons constater</w:t>
      </w:r>
      <w:r w:rsidR="004F74B9" w:rsidRPr="00367C86">
        <w:rPr>
          <w:rFonts w:ascii="Arial" w:eastAsia="Times New Roman" w:hAnsi="Arial" w:cs="Arial"/>
          <w:sz w:val="20"/>
          <w:szCs w:val="20"/>
          <w:lang w:eastAsia="fr-FR"/>
        </w:rPr>
        <w:t xml:space="preserve"> que l’évolution technologique va vers un PAPR toujours plus élevé.</w:t>
      </w:r>
    </w:p>
    <w:p w:rsidR="00A434E1" w:rsidRPr="00367C86" w:rsidRDefault="001760C3" w:rsidP="00367C86">
      <w:pPr>
        <w:spacing w:before="100" w:beforeAutospacing="1" w:after="100" w:afterAutospacing="1"/>
        <w:ind w:left="0" w:firstLine="0"/>
        <w:rPr>
          <w:rFonts w:ascii="Arial" w:hAnsi="Arial" w:cs="Arial"/>
          <w:bCs/>
          <w:sz w:val="20"/>
          <w:szCs w:val="20"/>
        </w:rPr>
      </w:pPr>
      <w:r w:rsidRPr="00367C86">
        <w:rPr>
          <w:rFonts w:ascii="Arial" w:hAnsi="Arial" w:cs="Arial"/>
          <w:sz w:val="20"/>
          <w:szCs w:val="20"/>
        </w:rPr>
        <w:t>Pour conclure sur ces premiers éléments,</w:t>
      </w:r>
      <w:r w:rsidR="008441ED" w:rsidRPr="00367C86">
        <w:rPr>
          <w:rFonts w:ascii="Arial" w:hAnsi="Arial" w:cs="Arial"/>
          <w:sz w:val="20"/>
          <w:szCs w:val="20"/>
        </w:rPr>
        <w:t xml:space="preserve"> </w:t>
      </w:r>
      <w:r w:rsidRPr="00367C86">
        <w:rPr>
          <w:rFonts w:ascii="Arial" w:hAnsi="Arial" w:cs="Arial"/>
          <w:sz w:val="20"/>
          <w:szCs w:val="20"/>
        </w:rPr>
        <w:t>l</w:t>
      </w:r>
      <w:r w:rsidR="00CF2776" w:rsidRPr="00367C86">
        <w:rPr>
          <w:rFonts w:ascii="Arial" w:hAnsi="Arial" w:cs="Arial"/>
          <w:sz w:val="20"/>
          <w:szCs w:val="20"/>
        </w:rPr>
        <w:t xml:space="preserve">es résultats des études </w:t>
      </w:r>
      <w:r w:rsidR="00A434E1" w:rsidRPr="00367C86">
        <w:rPr>
          <w:rFonts w:ascii="Arial" w:hAnsi="Arial" w:cs="Arial"/>
          <w:sz w:val="20"/>
          <w:szCs w:val="20"/>
        </w:rPr>
        <w:t>sur les effets</w:t>
      </w:r>
      <w:r w:rsidR="00AC672F" w:rsidRPr="00367C86">
        <w:rPr>
          <w:rFonts w:ascii="Arial" w:hAnsi="Arial" w:cs="Arial"/>
          <w:sz w:val="20"/>
          <w:szCs w:val="20"/>
        </w:rPr>
        <w:t xml:space="preserve"> biologiques des technologies sans fil</w:t>
      </w:r>
      <w:r w:rsidR="00A434E1" w:rsidRPr="00367C86">
        <w:rPr>
          <w:rFonts w:ascii="Arial" w:hAnsi="Arial" w:cs="Arial"/>
          <w:sz w:val="20"/>
          <w:szCs w:val="20"/>
        </w:rPr>
        <w:t xml:space="preserve"> peuvent varier en fonction de différents </w:t>
      </w:r>
      <w:r w:rsidR="00CF2776" w:rsidRPr="00367C86">
        <w:rPr>
          <w:rFonts w:ascii="Arial" w:hAnsi="Arial" w:cs="Arial"/>
          <w:sz w:val="20"/>
          <w:szCs w:val="20"/>
        </w:rPr>
        <w:t>paramètres expérimentaux : l</w:t>
      </w:r>
      <w:r w:rsidR="00A434E1" w:rsidRPr="00367C86">
        <w:rPr>
          <w:rFonts w:ascii="Arial" w:eastAsia="Times New Roman" w:hAnsi="Arial" w:cs="Arial"/>
          <w:sz w:val="20"/>
          <w:szCs w:val="20"/>
          <w:lang w:eastAsia="fr-FR"/>
        </w:rPr>
        <w:t xml:space="preserve">eur non-prise en compte </w:t>
      </w:r>
      <w:r w:rsidR="00CF2776" w:rsidRPr="00367C86">
        <w:rPr>
          <w:rFonts w:ascii="Arial" w:eastAsia="Times New Roman" w:hAnsi="Arial" w:cs="Arial"/>
          <w:sz w:val="20"/>
          <w:szCs w:val="20"/>
          <w:lang w:eastAsia="fr-FR"/>
        </w:rPr>
        <w:t>dans les protocoles d’études pourrait expliquer l’</w:t>
      </w:r>
      <w:r w:rsidR="00CF2776" w:rsidRPr="00367C86">
        <w:rPr>
          <w:rStyle w:val="lev"/>
          <w:rFonts w:ascii="Arial" w:hAnsi="Arial" w:cs="Arial"/>
          <w:b w:val="0"/>
          <w:sz w:val="20"/>
          <w:szCs w:val="20"/>
        </w:rPr>
        <w:t>hétérogénéité des résultats</w:t>
      </w:r>
      <w:r w:rsidR="00CF2776" w:rsidRPr="00367C86">
        <w:rPr>
          <w:rFonts w:ascii="Arial" w:hAnsi="Arial" w:cs="Arial"/>
          <w:sz w:val="20"/>
          <w:szCs w:val="20"/>
        </w:rPr>
        <w:t xml:space="preserve"> et le</w:t>
      </w:r>
      <w:r w:rsidR="00A434E1" w:rsidRPr="00367C86">
        <w:rPr>
          <w:rFonts w:ascii="Arial" w:hAnsi="Arial" w:cs="Arial"/>
          <w:sz w:val="20"/>
          <w:szCs w:val="20"/>
        </w:rPr>
        <w:t>ur</w:t>
      </w:r>
      <w:r w:rsidR="00CF2776" w:rsidRPr="00367C86">
        <w:rPr>
          <w:rFonts w:ascii="Arial" w:hAnsi="Arial" w:cs="Arial"/>
          <w:sz w:val="20"/>
          <w:szCs w:val="20"/>
        </w:rPr>
        <w:t xml:space="preserve"> </w:t>
      </w:r>
      <w:r w:rsidR="00CF2776" w:rsidRPr="00367C86">
        <w:rPr>
          <w:rStyle w:val="lev"/>
          <w:rFonts w:ascii="Arial" w:hAnsi="Arial" w:cs="Arial"/>
          <w:b w:val="0"/>
          <w:sz w:val="20"/>
          <w:szCs w:val="20"/>
        </w:rPr>
        <w:t>manque de reproductibilité</w:t>
      </w:r>
      <w:r w:rsidR="00AC672F" w:rsidRPr="00367C86">
        <w:rPr>
          <w:rStyle w:val="lev"/>
          <w:rFonts w:ascii="Arial" w:hAnsi="Arial" w:cs="Arial"/>
          <w:b w:val="0"/>
          <w:sz w:val="20"/>
          <w:szCs w:val="20"/>
        </w:rPr>
        <w:t>, c’est encore une hypothèse.</w:t>
      </w:r>
    </w:p>
    <w:p w:rsidR="00CF2776" w:rsidRPr="00367C86" w:rsidRDefault="00CF2776" w:rsidP="00367C86">
      <w:pPr>
        <w:ind w:left="0" w:firstLine="0"/>
        <w:rPr>
          <w:rFonts w:ascii="Arial" w:hAnsi="Arial" w:cs="Arial"/>
          <w:sz w:val="20"/>
          <w:szCs w:val="20"/>
        </w:rPr>
      </w:pPr>
    </w:p>
    <w:p w:rsidR="009F6C30" w:rsidRPr="00367C86" w:rsidRDefault="0070302F" w:rsidP="00367C86">
      <w:pPr>
        <w:ind w:left="0" w:firstLine="0"/>
        <w:rPr>
          <w:rFonts w:ascii="Arial" w:hAnsi="Arial" w:cs="Arial"/>
          <w:sz w:val="20"/>
          <w:szCs w:val="20"/>
        </w:rPr>
      </w:pPr>
      <w:r w:rsidRPr="00367C86">
        <w:rPr>
          <w:rFonts w:ascii="Arial" w:hAnsi="Arial" w:cs="Arial"/>
          <w:sz w:val="20"/>
          <w:szCs w:val="20"/>
        </w:rPr>
        <w:t xml:space="preserve">Cette partie technique - repoussante de prime abord mais indispensable, et nous espérons avoir su la rendre accessible - s’achevant, retenons en résumé </w:t>
      </w:r>
      <w:r w:rsidR="009F6C30" w:rsidRPr="00367C86">
        <w:rPr>
          <w:rFonts w:ascii="Arial" w:hAnsi="Arial" w:cs="Arial"/>
          <w:sz w:val="20"/>
          <w:szCs w:val="20"/>
        </w:rPr>
        <w:t>que :</w:t>
      </w:r>
    </w:p>
    <w:p w:rsidR="005D0A89" w:rsidRPr="00367C86" w:rsidRDefault="009F6C30" w:rsidP="009F3BB0">
      <w:pPr>
        <w:pStyle w:val="Paragraphedeliste"/>
        <w:numPr>
          <w:ilvl w:val="0"/>
          <w:numId w:val="2"/>
        </w:numPr>
        <w:rPr>
          <w:rFonts w:ascii="Arial" w:hAnsi="Arial" w:cs="Arial"/>
          <w:sz w:val="20"/>
          <w:szCs w:val="20"/>
        </w:rPr>
      </w:pPr>
      <w:r w:rsidRPr="00367C86">
        <w:rPr>
          <w:rFonts w:ascii="Arial" w:hAnsi="Arial" w:cs="Arial"/>
          <w:sz w:val="20"/>
          <w:szCs w:val="20"/>
        </w:rPr>
        <w:t xml:space="preserve">Les technologies </w:t>
      </w:r>
      <w:r w:rsidR="005D0A89" w:rsidRPr="00367C86">
        <w:rPr>
          <w:rFonts w:ascii="Arial" w:hAnsi="Arial" w:cs="Arial"/>
          <w:sz w:val="20"/>
          <w:szCs w:val="20"/>
        </w:rPr>
        <w:t>sans fil reposent sur des radiofréquences qui opèrent un transfert énergétique dans l’air, sans déplacement de matière,</w:t>
      </w:r>
    </w:p>
    <w:p w:rsidR="00880CCE" w:rsidRPr="00367C86" w:rsidRDefault="00880CCE" w:rsidP="009F3BB0">
      <w:pPr>
        <w:pStyle w:val="Paragraphedeliste"/>
        <w:numPr>
          <w:ilvl w:val="0"/>
          <w:numId w:val="2"/>
        </w:numPr>
        <w:rPr>
          <w:rFonts w:ascii="Arial" w:hAnsi="Arial" w:cs="Arial"/>
          <w:sz w:val="20"/>
          <w:szCs w:val="20"/>
        </w:rPr>
      </w:pPr>
      <w:r w:rsidRPr="00367C86">
        <w:rPr>
          <w:rFonts w:ascii="Arial" w:hAnsi="Arial" w:cs="Arial"/>
          <w:sz w:val="20"/>
          <w:szCs w:val="20"/>
        </w:rPr>
        <w:t>Ces rayonnements sont non-ionisants,</w:t>
      </w:r>
    </w:p>
    <w:p w:rsidR="00880CCE" w:rsidRPr="00367C86" w:rsidRDefault="00880CCE" w:rsidP="009F3BB0">
      <w:pPr>
        <w:pStyle w:val="Paragraphedeliste"/>
        <w:numPr>
          <w:ilvl w:val="0"/>
          <w:numId w:val="2"/>
        </w:numPr>
        <w:rPr>
          <w:rFonts w:ascii="Arial" w:hAnsi="Arial" w:cs="Arial"/>
          <w:sz w:val="20"/>
          <w:szCs w:val="20"/>
        </w:rPr>
      </w:pPr>
      <w:r w:rsidRPr="00367C86">
        <w:rPr>
          <w:rFonts w:ascii="Arial" w:hAnsi="Arial" w:cs="Arial"/>
          <w:sz w:val="20"/>
          <w:szCs w:val="20"/>
        </w:rPr>
        <w:t>S’il existe une définition de référence, leur délimitation varie et peut être source de confusion,</w:t>
      </w:r>
    </w:p>
    <w:p w:rsidR="0070302F" w:rsidRPr="00367C86" w:rsidRDefault="002D6E15" w:rsidP="009F3BB0">
      <w:pPr>
        <w:pStyle w:val="Paragraphedeliste"/>
        <w:numPr>
          <w:ilvl w:val="0"/>
          <w:numId w:val="2"/>
        </w:numPr>
        <w:ind w:hanging="294"/>
        <w:rPr>
          <w:rFonts w:ascii="Arial" w:hAnsi="Arial" w:cs="Arial"/>
          <w:sz w:val="20"/>
          <w:szCs w:val="20"/>
        </w:rPr>
      </w:pPr>
      <w:r w:rsidRPr="00367C86">
        <w:rPr>
          <w:rFonts w:ascii="Arial" w:hAnsi="Arial" w:cs="Arial"/>
          <w:sz w:val="20"/>
          <w:szCs w:val="20"/>
        </w:rPr>
        <w:t>A</w:t>
      </w:r>
      <w:r w:rsidR="009F6C30" w:rsidRPr="00367C86">
        <w:rPr>
          <w:rFonts w:ascii="Arial" w:hAnsi="Arial" w:cs="Arial"/>
          <w:sz w:val="20"/>
          <w:szCs w:val="20"/>
        </w:rPr>
        <w:t xml:space="preserve"> la différence des molécules chimiques qui ont un nom précis (ou deux si le nom anglais est différent, quatre si l’on emploie les acronymes), le champ lexical pour l’étude des effets des technologies sans fil sur la santé est vas</w:t>
      </w:r>
      <w:r w:rsidR="00577EA3" w:rsidRPr="00367C86">
        <w:rPr>
          <w:rFonts w:ascii="Arial" w:hAnsi="Arial" w:cs="Arial"/>
          <w:sz w:val="20"/>
          <w:szCs w:val="20"/>
        </w:rPr>
        <w:t xml:space="preserve">te. Le choix des mots-clefs parait donc </w:t>
      </w:r>
      <w:r w:rsidR="009F6C30" w:rsidRPr="00367C86">
        <w:rPr>
          <w:rFonts w:ascii="Arial" w:hAnsi="Arial" w:cs="Arial"/>
          <w:sz w:val="20"/>
          <w:szCs w:val="20"/>
        </w:rPr>
        <w:t>capital pour une revue d’expertise</w:t>
      </w:r>
      <w:r w:rsidR="00DC7C80" w:rsidRPr="00367C86">
        <w:rPr>
          <w:rFonts w:ascii="Arial" w:hAnsi="Arial" w:cs="Arial"/>
          <w:sz w:val="20"/>
          <w:szCs w:val="20"/>
        </w:rPr>
        <w:t>.</w:t>
      </w:r>
      <w:r w:rsidR="009F6C30" w:rsidRPr="00367C86">
        <w:rPr>
          <w:rFonts w:ascii="Arial" w:hAnsi="Arial" w:cs="Arial"/>
          <w:sz w:val="20"/>
          <w:szCs w:val="20"/>
        </w:rPr>
        <w:t xml:space="preserve"> </w:t>
      </w:r>
      <w:r w:rsidR="001760C3" w:rsidRPr="00367C86">
        <w:rPr>
          <w:rFonts w:ascii="Arial" w:hAnsi="Arial" w:cs="Arial"/>
          <w:sz w:val="20"/>
          <w:szCs w:val="20"/>
        </w:rPr>
        <w:t>Le</w:t>
      </w:r>
      <w:r w:rsidR="00914980" w:rsidRPr="00367C86">
        <w:rPr>
          <w:rFonts w:ascii="Arial" w:hAnsi="Arial" w:cs="Arial"/>
          <w:sz w:val="20"/>
          <w:szCs w:val="20"/>
        </w:rPr>
        <w:t xml:space="preserve"> diable se n</w:t>
      </w:r>
      <w:r w:rsidR="001760C3" w:rsidRPr="00367C86">
        <w:rPr>
          <w:rFonts w:ascii="Arial" w:hAnsi="Arial" w:cs="Arial"/>
          <w:sz w:val="20"/>
          <w:szCs w:val="20"/>
        </w:rPr>
        <w:t>iche parfois dans les détails, n</w:t>
      </w:r>
      <w:r w:rsidR="00914980" w:rsidRPr="00367C86">
        <w:rPr>
          <w:rFonts w:ascii="Arial" w:hAnsi="Arial" w:cs="Arial"/>
          <w:sz w:val="20"/>
          <w:szCs w:val="20"/>
        </w:rPr>
        <w:t>ous y reviendrons quand nous aborderons les étu</w:t>
      </w:r>
      <w:r w:rsidR="00DC0C8B" w:rsidRPr="00367C86">
        <w:rPr>
          <w:rFonts w:ascii="Arial" w:hAnsi="Arial" w:cs="Arial"/>
          <w:sz w:val="20"/>
          <w:szCs w:val="20"/>
        </w:rPr>
        <w:t>des et les rapports d’expertise,</w:t>
      </w:r>
    </w:p>
    <w:p w:rsidR="00DC0C8B" w:rsidRPr="00367C86" w:rsidRDefault="00DC0C8B" w:rsidP="009F3BB0">
      <w:pPr>
        <w:pStyle w:val="Paragraphedeliste"/>
        <w:numPr>
          <w:ilvl w:val="0"/>
          <w:numId w:val="2"/>
        </w:numPr>
        <w:rPr>
          <w:rFonts w:ascii="Arial" w:hAnsi="Arial" w:cs="Arial"/>
          <w:sz w:val="20"/>
          <w:szCs w:val="20"/>
        </w:rPr>
      </w:pPr>
      <w:r w:rsidRPr="00367C86">
        <w:rPr>
          <w:rFonts w:ascii="Arial" w:hAnsi="Arial" w:cs="Arial"/>
          <w:sz w:val="20"/>
          <w:szCs w:val="20"/>
        </w:rPr>
        <w:t>Les technologies sans fil utilisent des ondes hyperfréquences (dites également micro-ondes), qui sont des radiofréquences mais qui sont plus précisément comprises entre 300 MHz et 300 GHz,</w:t>
      </w:r>
    </w:p>
    <w:p w:rsidR="00DC0C8B" w:rsidRPr="00367C86" w:rsidRDefault="00DC0C8B" w:rsidP="009F3BB0">
      <w:pPr>
        <w:pStyle w:val="Paragraphedeliste"/>
        <w:numPr>
          <w:ilvl w:val="0"/>
          <w:numId w:val="2"/>
        </w:numPr>
        <w:rPr>
          <w:rFonts w:ascii="Arial" w:hAnsi="Arial" w:cs="Arial"/>
          <w:sz w:val="20"/>
          <w:szCs w:val="20"/>
        </w:rPr>
      </w:pPr>
      <w:r w:rsidRPr="00367C86">
        <w:rPr>
          <w:rFonts w:ascii="Arial" w:hAnsi="Arial" w:cs="Arial"/>
          <w:sz w:val="20"/>
          <w:szCs w:val="20"/>
        </w:rPr>
        <w:t>Ces hyperfréquences sont porteuses d’un signal informationnel,</w:t>
      </w:r>
    </w:p>
    <w:p w:rsidR="00F25EC7" w:rsidRPr="00367C86" w:rsidRDefault="0070302F" w:rsidP="009F3BB0">
      <w:pPr>
        <w:pStyle w:val="Paragraphedeliste"/>
        <w:numPr>
          <w:ilvl w:val="0"/>
          <w:numId w:val="2"/>
        </w:numPr>
        <w:ind w:hanging="294"/>
        <w:rPr>
          <w:rFonts w:ascii="Arial" w:hAnsi="Arial" w:cs="Arial"/>
          <w:sz w:val="20"/>
          <w:szCs w:val="20"/>
        </w:rPr>
      </w:pPr>
      <w:r w:rsidRPr="00367C86">
        <w:rPr>
          <w:rFonts w:ascii="Arial" w:hAnsi="Arial" w:cs="Arial"/>
          <w:sz w:val="20"/>
          <w:szCs w:val="20"/>
        </w:rPr>
        <w:t>Compte-tenu de la multiplicité des co-expositions entre radiofréquences, un effet cocktail n’est pas à exclure</w:t>
      </w:r>
      <w:r w:rsidR="00CE03FA" w:rsidRPr="00367C86">
        <w:rPr>
          <w:rFonts w:ascii="Arial" w:hAnsi="Arial" w:cs="Arial"/>
          <w:sz w:val="20"/>
          <w:szCs w:val="20"/>
        </w:rPr>
        <w:t>,</w:t>
      </w:r>
    </w:p>
    <w:p w:rsidR="0033775A" w:rsidRPr="00367C86" w:rsidRDefault="0033775A" w:rsidP="009F3BB0">
      <w:pPr>
        <w:pStyle w:val="Paragraphedeliste"/>
        <w:numPr>
          <w:ilvl w:val="0"/>
          <w:numId w:val="2"/>
        </w:numPr>
        <w:ind w:hanging="294"/>
        <w:rPr>
          <w:rFonts w:ascii="Arial" w:hAnsi="Arial" w:cs="Arial"/>
          <w:sz w:val="20"/>
          <w:szCs w:val="20"/>
        </w:rPr>
      </w:pPr>
      <w:r w:rsidRPr="00367C86">
        <w:rPr>
          <w:rFonts w:ascii="Arial" w:hAnsi="Arial" w:cs="Arial"/>
          <w:sz w:val="20"/>
          <w:szCs w:val="20"/>
        </w:rPr>
        <w:t>Pour l’évaluation d</w:t>
      </w:r>
      <w:r w:rsidR="00A434E1" w:rsidRPr="00367C86">
        <w:rPr>
          <w:rFonts w:ascii="Arial" w:hAnsi="Arial" w:cs="Arial"/>
          <w:sz w:val="20"/>
          <w:szCs w:val="20"/>
        </w:rPr>
        <w:t>e relations dose-réponse</w:t>
      </w:r>
      <w:r w:rsidRPr="00367C86">
        <w:rPr>
          <w:rFonts w:ascii="Arial" w:hAnsi="Arial" w:cs="Arial"/>
          <w:sz w:val="20"/>
          <w:szCs w:val="20"/>
        </w:rPr>
        <w:t>, en sus de la fréquence, de la puissance et de la durée d’</w:t>
      </w:r>
      <w:r w:rsidR="00A434E1" w:rsidRPr="00367C86">
        <w:rPr>
          <w:rFonts w:ascii="Arial" w:hAnsi="Arial" w:cs="Arial"/>
          <w:sz w:val="20"/>
          <w:szCs w:val="20"/>
        </w:rPr>
        <w:t>exposition, la recherche pourra</w:t>
      </w:r>
      <w:r w:rsidR="001760C3" w:rsidRPr="00367C86">
        <w:rPr>
          <w:rFonts w:ascii="Arial" w:hAnsi="Arial" w:cs="Arial"/>
          <w:sz w:val="20"/>
          <w:szCs w:val="20"/>
        </w:rPr>
        <w:t>it avoir une approche systémique</w:t>
      </w:r>
      <w:r w:rsidR="00A434E1" w:rsidRPr="00367C86">
        <w:rPr>
          <w:rFonts w:ascii="Arial" w:hAnsi="Arial" w:cs="Arial"/>
          <w:sz w:val="20"/>
          <w:szCs w:val="20"/>
        </w:rPr>
        <w:t xml:space="preserve"> en observant tout à la fois</w:t>
      </w:r>
      <w:r w:rsidRPr="00367C86">
        <w:rPr>
          <w:rFonts w:ascii="Arial" w:hAnsi="Arial" w:cs="Arial"/>
          <w:sz w:val="20"/>
          <w:szCs w:val="20"/>
        </w:rPr>
        <w:t xml:space="preserve"> les paramètres que sont la modulation, la technique de multiplexage, l</w:t>
      </w:r>
      <w:r w:rsidR="00A434E1" w:rsidRPr="00367C86">
        <w:rPr>
          <w:rFonts w:ascii="Arial" w:hAnsi="Arial" w:cs="Arial"/>
          <w:sz w:val="20"/>
          <w:szCs w:val="20"/>
        </w:rPr>
        <w:t xml:space="preserve">e </w:t>
      </w:r>
      <w:r w:rsidRPr="00367C86">
        <w:rPr>
          <w:rFonts w:ascii="Arial" w:hAnsi="Arial" w:cs="Arial"/>
          <w:sz w:val="20"/>
          <w:szCs w:val="20"/>
        </w:rPr>
        <w:t>caractère pu</w:t>
      </w:r>
      <w:r w:rsidR="00A434E1" w:rsidRPr="00367C86">
        <w:rPr>
          <w:rFonts w:ascii="Arial" w:hAnsi="Arial" w:cs="Arial"/>
          <w:sz w:val="20"/>
          <w:szCs w:val="20"/>
        </w:rPr>
        <w:t>l</w:t>
      </w:r>
      <w:r w:rsidRPr="00367C86">
        <w:rPr>
          <w:rFonts w:ascii="Arial" w:hAnsi="Arial" w:cs="Arial"/>
          <w:sz w:val="20"/>
          <w:szCs w:val="20"/>
        </w:rPr>
        <w:t xml:space="preserve">sé </w:t>
      </w:r>
      <w:r w:rsidR="00A434E1" w:rsidRPr="00367C86">
        <w:rPr>
          <w:rFonts w:ascii="Arial" w:hAnsi="Arial" w:cs="Arial"/>
          <w:sz w:val="20"/>
          <w:szCs w:val="20"/>
        </w:rPr>
        <w:t xml:space="preserve">ou non </w:t>
      </w:r>
      <w:r w:rsidRPr="00367C86">
        <w:rPr>
          <w:rFonts w:ascii="Arial" w:hAnsi="Arial" w:cs="Arial"/>
          <w:sz w:val="20"/>
          <w:szCs w:val="20"/>
        </w:rPr>
        <w:t xml:space="preserve">du signal, </w:t>
      </w:r>
      <w:r w:rsidR="00A434E1" w:rsidRPr="00367C86">
        <w:rPr>
          <w:rFonts w:ascii="Arial" w:hAnsi="Arial" w:cs="Arial"/>
          <w:sz w:val="20"/>
          <w:szCs w:val="20"/>
        </w:rPr>
        <w:t>le duty cyc</w:t>
      </w:r>
      <w:r w:rsidR="00DF311E" w:rsidRPr="00367C86">
        <w:rPr>
          <w:rFonts w:ascii="Arial" w:hAnsi="Arial" w:cs="Arial"/>
          <w:sz w:val="20"/>
          <w:szCs w:val="20"/>
        </w:rPr>
        <w:t>le, le débit binaire et le PAPR. Ce qui signifie, contrevenant</w:t>
      </w:r>
      <w:r w:rsidR="0095331A" w:rsidRPr="00367C86">
        <w:rPr>
          <w:rStyle w:val="Appelnotedebasdep"/>
          <w:rFonts w:ascii="Arial" w:hAnsi="Arial" w:cs="Arial"/>
          <w:sz w:val="20"/>
          <w:szCs w:val="20"/>
        </w:rPr>
        <w:footnoteReference w:id="22"/>
      </w:r>
      <w:r w:rsidR="00DF311E" w:rsidRPr="00367C86">
        <w:rPr>
          <w:rFonts w:ascii="Arial" w:hAnsi="Arial" w:cs="Arial"/>
          <w:sz w:val="20"/>
          <w:szCs w:val="20"/>
        </w:rPr>
        <w:t xml:space="preserve"> au principe de Paracelse selon lequel c’est la dose qui fait le poison, que le traitement opéré sur le signal ainsi que sur sa porteuse </w:t>
      </w:r>
      <w:r w:rsidR="001760C3" w:rsidRPr="00367C86">
        <w:rPr>
          <w:rFonts w:ascii="Arial" w:hAnsi="Arial" w:cs="Arial"/>
          <w:sz w:val="20"/>
          <w:szCs w:val="20"/>
        </w:rPr>
        <w:t>pourrait avoir</w:t>
      </w:r>
      <w:r w:rsidR="00DF311E" w:rsidRPr="00367C86">
        <w:rPr>
          <w:rFonts w:ascii="Arial" w:hAnsi="Arial" w:cs="Arial"/>
          <w:sz w:val="20"/>
          <w:szCs w:val="20"/>
        </w:rPr>
        <w:t xml:space="preserve"> son importance (la nature plutôt que la dose),</w:t>
      </w:r>
    </w:p>
    <w:p w:rsidR="00500103" w:rsidRPr="00367C86" w:rsidRDefault="007951A6" w:rsidP="009F3BB0">
      <w:pPr>
        <w:pStyle w:val="Paragraphedeliste"/>
        <w:numPr>
          <w:ilvl w:val="0"/>
          <w:numId w:val="2"/>
        </w:numPr>
        <w:ind w:hanging="294"/>
        <w:rPr>
          <w:rFonts w:ascii="Arial" w:hAnsi="Arial" w:cs="Arial"/>
          <w:sz w:val="20"/>
          <w:szCs w:val="20"/>
        </w:rPr>
      </w:pPr>
      <w:r w:rsidRPr="00367C86">
        <w:rPr>
          <w:rFonts w:ascii="Arial" w:hAnsi="Arial" w:cs="Arial"/>
          <w:sz w:val="20"/>
          <w:szCs w:val="20"/>
        </w:rPr>
        <w:t>La toxicologie</w:t>
      </w:r>
      <w:r w:rsidR="00E116C9" w:rsidRPr="00367C86">
        <w:rPr>
          <w:rFonts w:ascii="Arial" w:hAnsi="Arial" w:cs="Arial"/>
          <w:sz w:val="20"/>
          <w:szCs w:val="20"/>
        </w:rPr>
        <w:t xml:space="preserve">, traditionnellement </w:t>
      </w:r>
      <w:r w:rsidR="00500103" w:rsidRPr="00367C86">
        <w:rPr>
          <w:rFonts w:ascii="Arial" w:hAnsi="Arial" w:cs="Arial"/>
          <w:sz w:val="20"/>
          <w:szCs w:val="20"/>
        </w:rPr>
        <w:t>tournée vers la chimie,</w:t>
      </w:r>
      <w:r w:rsidRPr="00367C86">
        <w:rPr>
          <w:rFonts w:ascii="Arial" w:hAnsi="Arial" w:cs="Arial"/>
          <w:sz w:val="20"/>
          <w:szCs w:val="20"/>
        </w:rPr>
        <w:t xml:space="preserve"> </w:t>
      </w:r>
      <w:r w:rsidR="00500103" w:rsidRPr="00367C86">
        <w:rPr>
          <w:rFonts w:ascii="Arial" w:hAnsi="Arial" w:cs="Arial"/>
          <w:sz w:val="20"/>
          <w:szCs w:val="20"/>
        </w:rPr>
        <w:t xml:space="preserve">doit monter en compétence sur ces sujets, </w:t>
      </w:r>
    </w:p>
    <w:p w:rsidR="007951A6" w:rsidRPr="00367C86" w:rsidRDefault="00500103" w:rsidP="009F3BB0">
      <w:pPr>
        <w:pStyle w:val="Paragraphedeliste"/>
        <w:numPr>
          <w:ilvl w:val="0"/>
          <w:numId w:val="2"/>
        </w:numPr>
        <w:ind w:hanging="294"/>
        <w:rPr>
          <w:rFonts w:ascii="Arial" w:hAnsi="Arial" w:cs="Arial"/>
          <w:sz w:val="20"/>
          <w:szCs w:val="20"/>
        </w:rPr>
      </w:pPr>
      <w:r w:rsidRPr="00367C86">
        <w:rPr>
          <w:rFonts w:ascii="Arial" w:hAnsi="Arial" w:cs="Arial"/>
          <w:sz w:val="20"/>
          <w:szCs w:val="20"/>
        </w:rPr>
        <w:t>Pour autant</w:t>
      </w:r>
      <w:r w:rsidR="00F25EC7" w:rsidRPr="00367C86">
        <w:rPr>
          <w:rFonts w:ascii="Arial" w:hAnsi="Arial" w:cs="Arial"/>
          <w:sz w:val="20"/>
          <w:szCs w:val="20"/>
        </w:rPr>
        <w:t>,</w:t>
      </w:r>
      <w:r w:rsidRPr="00367C86">
        <w:rPr>
          <w:rFonts w:ascii="Arial" w:hAnsi="Arial" w:cs="Arial"/>
          <w:sz w:val="20"/>
          <w:szCs w:val="20"/>
        </w:rPr>
        <w:t xml:space="preserve"> elle </w:t>
      </w:r>
      <w:r w:rsidR="007951A6" w:rsidRPr="00367C86">
        <w:rPr>
          <w:rFonts w:ascii="Arial" w:hAnsi="Arial" w:cs="Arial"/>
          <w:sz w:val="20"/>
          <w:szCs w:val="20"/>
        </w:rPr>
        <w:t>ne peut pas</w:t>
      </w:r>
      <w:r w:rsidRPr="00367C86">
        <w:rPr>
          <w:rFonts w:ascii="Arial" w:hAnsi="Arial" w:cs="Arial"/>
          <w:sz w:val="20"/>
          <w:szCs w:val="20"/>
        </w:rPr>
        <w:t xml:space="preserve"> affronter seule la complexité de ces caractéristiques </w:t>
      </w:r>
      <w:r w:rsidR="007951A6" w:rsidRPr="00367C86">
        <w:rPr>
          <w:rFonts w:ascii="Arial" w:hAnsi="Arial" w:cs="Arial"/>
          <w:sz w:val="20"/>
          <w:szCs w:val="20"/>
        </w:rPr>
        <w:t>si technique</w:t>
      </w:r>
      <w:r w:rsidRPr="00367C86">
        <w:rPr>
          <w:rFonts w:ascii="Arial" w:hAnsi="Arial" w:cs="Arial"/>
          <w:sz w:val="20"/>
          <w:szCs w:val="20"/>
        </w:rPr>
        <w:t>s</w:t>
      </w:r>
      <w:r w:rsidR="007951A6" w:rsidRPr="00367C86">
        <w:rPr>
          <w:rFonts w:ascii="Arial" w:hAnsi="Arial" w:cs="Arial"/>
          <w:sz w:val="20"/>
          <w:szCs w:val="20"/>
        </w:rPr>
        <w:t xml:space="preserve"> : une approche interdisciplinaire intégrant des </w:t>
      </w:r>
      <w:r w:rsidR="00E116C9" w:rsidRPr="00367C86">
        <w:rPr>
          <w:rFonts w:ascii="Arial" w:hAnsi="Arial" w:cs="Arial"/>
          <w:sz w:val="20"/>
          <w:szCs w:val="20"/>
        </w:rPr>
        <w:t>électro(magnéto)toxicologues</w:t>
      </w:r>
      <w:r w:rsidR="00E116C9" w:rsidRPr="00367C86">
        <w:rPr>
          <w:rStyle w:val="Appelnotedebasdep"/>
          <w:rFonts w:ascii="Arial" w:hAnsi="Arial" w:cs="Arial"/>
          <w:sz w:val="20"/>
          <w:szCs w:val="20"/>
        </w:rPr>
        <w:footnoteReference w:id="23"/>
      </w:r>
      <w:r w:rsidR="00E116C9" w:rsidRPr="00367C86">
        <w:rPr>
          <w:rFonts w:ascii="Arial" w:hAnsi="Arial" w:cs="Arial"/>
          <w:sz w:val="20"/>
          <w:szCs w:val="20"/>
        </w:rPr>
        <w:t xml:space="preserve"> ainsi que des </w:t>
      </w:r>
      <w:r w:rsidR="007951A6" w:rsidRPr="00367C86">
        <w:rPr>
          <w:rFonts w:ascii="Arial" w:hAnsi="Arial" w:cs="Arial"/>
          <w:sz w:val="20"/>
          <w:szCs w:val="20"/>
        </w:rPr>
        <w:t>ingénieurs en mesure de veiller au respect d’</w:t>
      </w:r>
      <w:r w:rsidR="0070302F" w:rsidRPr="00367C86">
        <w:rPr>
          <w:rFonts w:ascii="Arial" w:hAnsi="Arial" w:cs="Arial"/>
          <w:sz w:val="20"/>
          <w:szCs w:val="20"/>
        </w:rPr>
        <w:t xml:space="preserve">un </w:t>
      </w:r>
      <w:r w:rsidR="00AC672F" w:rsidRPr="00367C86">
        <w:rPr>
          <w:rFonts w:ascii="Arial" w:hAnsi="Arial" w:cs="Arial"/>
          <w:sz w:val="20"/>
          <w:szCs w:val="20"/>
        </w:rPr>
        <w:t xml:space="preserve">socle de </w:t>
      </w:r>
      <w:r w:rsidR="0070302F" w:rsidRPr="00367C86">
        <w:rPr>
          <w:rFonts w:ascii="Arial" w:hAnsi="Arial" w:cs="Arial"/>
          <w:sz w:val="20"/>
          <w:szCs w:val="20"/>
        </w:rPr>
        <w:t>protocole partagé, mettant l’attention sur tous les paramètres précités,</w:t>
      </w:r>
      <w:r w:rsidR="007951A6" w:rsidRPr="00367C86">
        <w:rPr>
          <w:rFonts w:ascii="Arial" w:hAnsi="Arial" w:cs="Arial"/>
          <w:sz w:val="20"/>
          <w:szCs w:val="20"/>
        </w:rPr>
        <w:t xml:space="preserve"> permettant une reproductibilité et la possibilité d’en comparer les résultats (</w:t>
      </w:r>
      <w:r w:rsidR="00AC672F" w:rsidRPr="00367C86">
        <w:rPr>
          <w:rFonts w:ascii="Arial" w:hAnsi="Arial" w:cs="Arial"/>
          <w:sz w:val="20"/>
          <w:szCs w:val="20"/>
        </w:rPr>
        <w:t xml:space="preserve">afin de pouvoir </w:t>
      </w:r>
      <w:r w:rsidR="007951A6" w:rsidRPr="00367C86">
        <w:rPr>
          <w:rFonts w:ascii="Arial" w:hAnsi="Arial" w:cs="Arial"/>
          <w:sz w:val="20"/>
          <w:szCs w:val="20"/>
        </w:rPr>
        <w:t>comparer ce qui est comparable)</w:t>
      </w:r>
      <w:r w:rsidR="009748FF" w:rsidRPr="00367C86">
        <w:rPr>
          <w:rFonts w:ascii="Arial" w:hAnsi="Arial" w:cs="Arial"/>
          <w:sz w:val="20"/>
          <w:szCs w:val="20"/>
        </w:rPr>
        <w:t xml:space="preserve"> </w:t>
      </w:r>
      <w:r w:rsidR="0070302F" w:rsidRPr="00367C86">
        <w:rPr>
          <w:rFonts w:ascii="Arial" w:hAnsi="Arial" w:cs="Arial"/>
          <w:sz w:val="20"/>
          <w:szCs w:val="20"/>
        </w:rPr>
        <w:t>semble indispensable.</w:t>
      </w:r>
      <w:r w:rsidR="00CE03FA" w:rsidRPr="00367C86">
        <w:rPr>
          <w:rFonts w:ascii="Arial" w:hAnsi="Arial" w:cs="Arial"/>
          <w:sz w:val="20"/>
          <w:szCs w:val="20"/>
        </w:rPr>
        <w:t xml:space="preserve"> </w:t>
      </w:r>
    </w:p>
    <w:p w:rsidR="00F63524" w:rsidRPr="00367C86" w:rsidRDefault="00F63524" w:rsidP="00367C86">
      <w:pPr>
        <w:rPr>
          <w:rFonts w:ascii="Arial" w:hAnsi="Arial" w:cs="Arial"/>
          <w:sz w:val="20"/>
          <w:szCs w:val="20"/>
        </w:rPr>
      </w:pPr>
    </w:p>
    <w:p w:rsidR="00F63524" w:rsidRPr="00367C86" w:rsidRDefault="00F63524" w:rsidP="009F3BB0">
      <w:pPr>
        <w:pStyle w:val="NormalWeb"/>
        <w:numPr>
          <w:ilvl w:val="0"/>
          <w:numId w:val="1"/>
        </w:numPr>
        <w:jc w:val="both"/>
        <w:rPr>
          <w:rFonts w:ascii="Arial" w:hAnsi="Arial" w:cs="Arial"/>
          <w:b/>
          <w:sz w:val="20"/>
          <w:szCs w:val="20"/>
        </w:rPr>
      </w:pPr>
      <w:r w:rsidRPr="00367C86">
        <w:rPr>
          <w:rFonts w:ascii="Arial" w:hAnsi="Arial" w:cs="Arial"/>
          <w:b/>
          <w:sz w:val="20"/>
          <w:szCs w:val="20"/>
        </w:rPr>
        <w:t xml:space="preserve">Caractérisation du phénomène </w:t>
      </w:r>
      <w:r w:rsidR="003C7B3F" w:rsidRPr="00367C86">
        <w:rPr>
          <w:rFonts w:ascii="Arial" w:hAnsi="Arial" w:cs="Arial"/>
          <w:b/>
          <w:sz w:val="20"/>
          <w:szCs w:val="20"/>
        </w:rPr>
        <w:t xml:space="preserve">« Technologies </w:t>
      </w:r>
      <w:r w:rsidRPr="00367C86">
        <w:rPr>
          <w:rFonts w:ascii="Arial" w:hAnsi="Arial" w:cs="Arial"/>
          <w:b/>
          <w:sz w:val="20"/>
          <w:szCs w:val="20"/>
        </w:rPr>
        <w:t>sans fil »</w:t>
      </w:r>
    </w:p>
    <w:p w:rsidR="00F63524" w:rsidRPr="00367C86" w:rsidRDefault="00C04392" w:rsidP="00367C86">
      <w:pPr>
        <w:ind w:left="0" w:firstLine="0"/>
        <w:rPr>
          <w:rFonts w:ascii="Arial" w:hAnsi="Arial" w:cs="Arial"/>
          <w:sz w:val="20"/>
          <w:szCs w:val="20"/>
        </w:rPr>
      </w:pPr>
      <w:r w:rsidRPr="00367C86">
        <w:rPr>
          <w:rFonts w:ascii="Arial" w:hAnsi="Arial" w:cs="Arial"/>
          <w:sz w:val="20"/>
          <w:szCs w:val="20"/>
        </w:rPr>
        <w:t>Au-delà des aspects tec</w:t>
      </w:r>
      <w:r w:rsidR="00AC672F" w:rsidRPr="00367C86">
        <w:rPr>
          <w:rFonts w:ascii="Arial" w:hAnsi="Arial" w:cs="Arial"/>
          <w:sz w:val="20"/>
          <w:szCs w:val="20"/>
        </w:rPr>
        <w:t>hniques</w:t>
      </w:r>
      <w:r w:rsidRPr="00367C86">
        <w:rPr>
          <w:rFonts w:ascii="Arial" w:hAnsi="Arial" w:cs="Arial"/>
          <w:sz w:val="20"/>
          <w:szCs w:val="20"/>
        </w:rPr>
        <w:t>, il nous semble important de caractériser le phénomène</w:t>
      </w:r>
      <w:r w:rsidRPr="00367C86">
        <w:rPr>
          <w:rStyle w:val="Appelnotedebasdep"/>
          <w:rFonts w:ascii="Arial" w:hAnsi="Arial" w:cs="Arial"/>
          <w:sz w:val="20"/>
          <w:szCs w:val="20"/>
        </w:rPr>
        <w:footnoteReference w:id="24"/>
      </w:r>
      <w:r w:rsidRPr="00367C86">
        <w:rPr>
          <w:rFonts w:ascii="Arial" w:hAnsi="Arial" w:cs="Arial"/>
          <w:sz w:val="20"/>
          <w:szCs w:val="20"/>
        </w:rPr>
        <w:t xml:space="preserve"> </w:t>
      </w:r>
      <w:r w:rsidR="003C7B3F" w:rsidRPr="00367C86">
        <w:rPr>
          <w:rFonts w:ascii="Arial" w:hAnsi="Arial" w:cs="Arial"/>
          <w:sz w:val="20"/>
          <w:szCs w:val="20"/>
        </w:rPr>
        <w:t xml:space="preserve">« Technologies </w:t>
      </w:r>
      <w:r w:rsidRPr="00367C86">
        <w:rPr>
          <w:rFonts w:ascii="Arial" w:hAnsi="Arial" w:cs="Arial"/>
          <w:sz w:val="20"/>
          <w:szCs w:val="20"/>
        </w:rPr>
        <w:t xml:space="preserve">sans fil ». </w:t>
      </w:r>
    </w:p>
    <w:p w:rsidR="0070302F" w:rsidRPr="00367C86" w:rsidRDefault="0070302F" w:rsidP="00367C86">
      <w:pPr>
        <w:pStyle w:val="Paragraphedeliste"/>
        <w:ind w:firstLine="0"/>
        <w:rPr>
          <w:rFonts w:ascii="Arial" w:hAnsi="Arial" w:cs="Arial"/>
          <w:sz w:val="20"/>
          <w:szCs w:val="20"/>
        </w:rPr>
      </w:pPr>
    </w:p>
    <w:p w:rsidR="004638C7" w:rsidRPr="00367C86" w:rsidRDefault="004638C7" w:rsidP="00367C86">
      <w:pPr>
        <w:ind w:left="0" w:firstLine="0"/>
        <w:rPr>
          <w:rFonts w:ascii="Arial" w:hAnsi="Arial" w:cs="Arial"/>
          <w:sz w:val="20"/>
          <w:szCs w:val="20"/>
        </w:rPr>
      </w:pPr>
    </w:p>
    <w:p w:rsidR="0091482D" w:rsidRPr="00367C86" w:rsidRDefault="002670C9" w:rsidP="009F3BB0">
      <w:pPr>
        <w:pStyle w:val="Paragraphedeliste"/>
        <w:numPr>
          <w:ilvl w:val="0"/>
          <w:numId w:val="9"/>
        </w:numPr>
        <w:rPr>
          <w:rFonts w:ascii="Arial" w:hAnsi="Arial" w:cs="Arial"/>
          <w:sz w:val="20"/>
          <w:szCs w:val="20"/>
          <w:u w:val="single"/>
        </w:rPr>
      </w:pPr>
      <w:r w:rsidRPr="00367C86">
        <w:rPr>
          <w:rFonts w:ascii="Arial" w:hAnsi="Arial" w:cs="Arial"/>
          <w:sz w:val="20"/>
          <w:szCs w:val="20"/>
          <w:u w:val="single"/>
        </w:rPr>
        <w:t>T</w:t>
      </w:r>
      <w:r w:rsidR="00BB7E76" w:rsidRPr="00367C86">
        <w:rPr>
          <w:rFonts w:ascii="Arial" w:hAnsi="Arial" w:cs="Arial"/>
          <w:sz w:val="20"/>
          <w:szCs w:val="20"/>
          <w:u w:val="single"/>
        </w:rPr>
        <w:t>echnologies sans fil</w:t>
      </w:r>
      <w:r w:rsidR="008B05A4" w:rsidRPr="00367C86">
        <w:rPr>
          <w:rFonts w:ascii="Arial" w:hAnsi="Arial" w:cs="Arial"/>
          <w:sz w:val="20"/>
          <w:szCs w:val="20"/>
          <w:u w:val="single"/>
        </w:rPr>
        <w:t> : des émissions anthropiques</w:t>
      </w:r>
    </w:p>
    <w:p w:rsidR="00CD21B9" w:rsidRPr="00367C86" w:rsidRDefault="00CD21B9" w:rsidP="00367C86">
      <w:pPr>
        <w:rPr>
          <w:rFonts w:ascii="Arial" w:hAnsi="Arial" w:cs="Arial"/>
          <w:sz w:val="20"/>
          <w:szCs w:val="20"/>
          <w:u w:val="single"/>
        </w:rPr>
      </w:pPr>
    </w:p>
    <w:p w:rsidR="003C62CF" w:rsidRPr="00367C86" w:rsidRDefault="00CA0AF4" w:rsidP="00367C86">
      <w:pPr>
        <w:ind w:left="0" w:firstLine="0"/>
        <w:rPr>
          <w:rFonts w:ascii="Arial" w:hAnsi="Arial" w:cs="Arial"/>
          <w:sz w:val="20"/>
          <w:szCs w:val="20"/>
        </w:rPr>
      </w:pPr>
      <w:r w:rsidRPr="00367C86">
        <w:rPr>
          <w:rFonts w:ascii="Arial" w:hAnsi="Arial" w:cs="Arial"/>
          <w:sz w:val="20"/>
          <w:szCs w:val="20"/>
        </w:rPr>
        <w:t>A l’état naturel, sur Terre, la vie évolue dans un</w:t>
      </w:r>
      <w:r w:rsidR="00851750" w:rsidRPr="00367C86">
        <w:rPr>
          <w:rFonts w:ascii="Arial" w:hAnsi="Arial" w:cs="Arial"/>
          <w:sz w:val="20"/>
          <w:szCs w:val="20"/>
        </w:rPr>
        <w:t xml:space="preserve"> champ électrique et magnétique </w:t>
      </w:r>
      <w:r w:rsidRPr="00367C86">
        <w:rPr>
          <w:rFonts w:ascii="Arial" w:hAnsi="Arial" w:cs="Arial"/>
          <w:sz w:val="20"/>
          <w:szCs w:val="20"/>
        </w:rPr>
        <w:t>faible et stabl</w:t>
      </w:r>
      <w:r w:rsidR="00793AB6" w:rsidRPr="00367C86">
        <w:rPr>
          <w:rFonts w:ascii="Arial" w:hAnsi="Arial" w:cs="Arial"/>
          <w:sz w:val="20"/>
          <w:szCs w:val="20"/>
        </w:rPr>
        <w:t>e</w:t>
      </w:r>
      <w:r w:rsidR="003C62CF" w:rsidRPr="00367C86">
        <w:rPr>
          <w:rFonts w:ascii="Arial" w:hAnsi="Arial" w:cs="Arial"/>
          <w:sz w:val="20"/>
          <w:szCs w:val="20"/>
        </w:rPr>
        <w:t>, e</w:t>
      </w:r>
      <w:r w:rsidR="00177056" w:rsidRPr="00367C86">
        <w:rPr>
          <w:rFonts w:ascii="Arial" w:hAnsi="Arial" w:cs="Arial"/>
          <w:sz w:val="20"/>
          <w:szCs w:val="20"/>
        </w:rPr>
        <w:t>ssentiellement statique</w:t>
      </w:r>
      <w:r w:rsidR="003C62CF" w:rsidRPr="00367C86">
        <w:rPr>
          <w:rFonts w:ascii="Arial" w:hAnsi="Arial" w:cs="Arial"/>
          <w:sz w:val="20"/>
          <w:szCs w:val="20"/>
        </w:rPr>
        <w:t xml:space="preserve">, qui </w:t>
      </w:r>
      <w:r w:rsidR="00177056" w:rsidRPr="00367C86">
        <w:rPr>
          <w:rFonts w:ascii="Arial" w:hAnsi="Arial" w:cs="Arial"/>
          <w:sz w:val="20"/>
          <w:szCs w:val="20"/>
        </w:rPr>
        <w:t>fluctue dans la partie la plus basse du spectre électromagnétique, de l’</w:t>
      </w:r>
      <w:r w:rsidR="00851750" w:rsidRPr="00367C86">
        <w:rPr>
          <w:rFonts w:ascii="Arial" w:hAnsi="Arial" w:cs="Arial"/>
          <w:sz w:val="20"/>
          <w:szCs w:val="20"/>
        </w:rPr>
        <w:t>ordre du Her</w:t>
      </w:r>
      <w:r w:rsidR="003C7B3F" w:rsidRPr="00367C86">
        <w:rPr>
          <w:rFonts w:ascii="Arial" w:hAnsi="Arial" w:cs="Arial"/>
          <w:sz w:val="20"/>
          <w:szCs w:val="20"/>
        </w:rPr>
        <w:t>t</w:t>
      </w:r>
      <w:r w:rsidR="00851750" w:rsidRPr="00367C86">
        <w:rPr>
          <w:rFonts w:ascii="Arial" w:hAnsi="Arial" w:cs="Arial"/>
          <w:sz w:val="20"/>
          <w:szCs w:val="20"/>
        </w:rPr>
        <w:t xml:space="preserve">z ; </w:t>
      </w:r>
      <w:r w:rsidR="00177056" w:rsidRPr="00367C86">
        <w:rPr>
          <w:rFonts w:ascii="Arial" w:hAnsi="Arial" w:cs="Arial"/>
          <w:sz w:val="20"/>
          <w:szCs w:val="20"/>
        </w:rPr>
        <w:t>il en va de même pour les mouvements des océans</w:t>
      </w:r>
      <w:r w:rsidR="00851750" w:rsidRPr="00367C86">
        <w:rPr>
          <w:rFonts w:ascii="Arial" w:hAnsi="Arial" w:cs="Arial"/>
          <w:sz w:val="20"/>
          <w:szCs w:val="20"/>
        </w:rPr>
        <w:t>, faibles, et continus</w:t>
      </w:r>
      <w:r w:rsidR="00177056" w:rsidRPr="00367C86">
        <w:rPr>
          <w:rFonts w:ascii="Arial" w:hAnsi="Arial" w:cs="Arial"/>
          <w:sz w:val="20"/>
          <w:szCs w:val="20"/>
        </w:rPr>
        <w:t xml:space="preserve">. </w:t>
      </w:r>
    </w:p>
    <w:p w:rsidR="003C62CF" w:rsidRPr="00367C86" w:rsidRDefault="00177056" w:rsidP="00367C86">
      <w:pPr>
        <w:ind w:left="0" w:firstLine="0"/>
        <w:rPr>
          <w:rFonts w:ascii="Arial" w:hAnsi="Arial" w:cs="Arial"/>
          <w:sz w:val="20"/>
          <w:szCs w:val="20"/>
        </w:rPr>
      </w:pPr>
      <w:r w:rsidRPr="00367C86">
        <w:rPr>
          <w:rFonts w:ascii="Arial" w:hAnsi="Arial" w:cs="Arial"/>
          <w:sz w:val="20"/>
          <w:szCs w:val="20"/>
        </w:rPr>
        <w:t xml:space="preserve">Nous sommes bien loin des niveaux des hyperfréquences. </w:t>
      </w:r>
    </w:p>
    <w:p w:rsidR="00851750" w:rsidRPr="00367C86" w:rsidRDefault="00177056" w:rsidP="00367C86">
      <w:pPr>
        <w:ind w:left="0" w:firstLine="0"/>
        <w:rPr>
          <w:rFonts w:ascii="Arial" w:hAnsi="Arial" w:cs="Arial"/>
          <w:sz w:val="20"/>
          <w:szCs w:val="20"/>
        </w:rPr>
      </w:pPr>
      <w:r w:rsidRPr="00367C86">
        <w:rPr>
          <w:rFonts w:ascii="Arial" w:hAnsi="Arial" w:cs="Arial"/>
          <w:sz w:val="20"/>
          <w:szCs w:val="20"/>
        </w:rPr>
        <w:lastRenderedPageBreak/>
        <w:t>L</w:t>
      </w:r>
      <w:r w:rsidR="00CA0AF4" w:rsidRPr="00367C86">
        <w:rPr>
          <w:rFonts w:ascii="Arial" w:hAnsi="Arial" w:cs="Arial"/>
          <w:sz w:val="20"/>
          <w:szCs w:val="20"/>
        </w:rPr>
        <w:t>ors de ponctue</w:t>
      </w:r>
      <w:r w:rsidR="00FD5DED" w:rsidRPr="00367C86">
        <w:rPr>
          <w:rFonts w:ascii="Arial" w:hAnsi="Arial" w:cs="Arial"/>
          <w:sz w:val="20"/>
          <w:szCs w:val="20"/>
        </w:rPr>
        <w:t>ls évé</w:t>
      </w:r>
      <w:r w:rsidR="00851750" w:rsidRPr="00367C86">
        <w:rPr>
          <w:rFonts w:ascii="Arial" w:hAnsi="Arial" w:cs="Arial"/>
          <w:sz w:val="20"/>
          <w:szCs w:val="20"/>
        </w:rPr>
        <w:t>nements tels que l’orage</w:t>
      </w:r>
      <w:r w:rsidR="003C62CF" w:rsidRPr="00367C86">
        <w:rPr>
          <w:rFonts w:ascii="Arial" w:hAnsi="Arial" w:cs="Arial"/>
          <w:sz w:val="20"/>
          <w:szCs w:val="20"/>
        </w:rPr>
        <w:t>, les éruptions volcaniques ou lors d’</w:t>
      </w:r>
      <w:r w:rsidR="00CA0AF4" w:rsidRPr="00367C86">
        <w:rPr>
          <w:rFonts w:ascii="Arial" w:hAnsi="Arial" w:cs="Arial"/>
          <w:sz w:val="20"/>
          <w:szCs w:val="20"/>
        </w:rPr>
        <w:t>aurores boréales</w:t>
      </w:r>
      <w:r w:rsidR="00851750" w:rsidRPr="00367C86">
        <w:rPr>
          <w:rFonts w:ascii="Arial" w:hAnsi="Arial" w:cs="Arial"/>
          <w:sz w:val="20"/>
          <w:szCs w:val="20"/>
        </w:rPr>
        <w:t>, des radiofréquences sont émises, mais toujours dans la partie basse du spectre électomagnétique, bien en-deça des hyperfréquences</w:t>
      </w:r>
      <w:r w:rsidR="00F729D7" w:rsidRPr="00367C86">
        <w:rPr>
          <w:rFonts w:ascii="Arial" w:hAnsi="Arial" w:cs="Arial"/>
          <w:sz w:val="20"/>
          <w:szCs w:val="20"/>
        </w:rPr>
        <w:t xml:space="preserve">. </w:t>
      </w:r>
      <w:r w:rsidR="00851750" w:rsidRPr="00367C86">
        <w:rPr>
          <w:rFonts w:ascii="Arial" w:hAnsi="Arial" w:cs="Arial"/>
          <w:sz w:val="20"/>
          <w:szCs w:val="20"/>
        </w:rPr>
        <w:t>Le rayonnement cosmique émet un fond diffus de rayonnement électromagnétique mais il est faible et constant. Seules les éruptions solaires semblent pouvoir émettre des hyperfréquences plus forte</w:t>
      </w:r>
      <w:r w:rsidR="003C62CF" w:rsidRPr="00367C86">
        <w:rPr>
          <w:rFonts w:ascii="Arial" w:hAnsi="Arial" w:cs="Arial"/>
          <w:sz w:val="20"/>
          <w:szCs w:val="20"/>
        </w:rPr>
        <w:t>s</w:t>
      </w:r>
      <w:r w:rsidR="00851750" w:rsidRPr="00367C86">
        <w:rPr>
          <w:rFonts w:ascii="Arial" w:hAnsi="Arial" w:cs="Arial"/>
          <w:sz w:val="20"/>
          <w:szCs w:val="20"/>
        </w:rPr>
        <w:t xml:space="preserve">, </w:t>
      </w:r>
      <w:r w:rsidR="003C62CF" w:rsidRPr="00367C86">
        <w:rPr>
          <w:rFonts w:ascii="Arial" w:hAnsi="Arial" w:cs="Arial"/>
          <w:sz w:val="20"/>
          <w:szCs w:val="20"/>
        </w:rPr>
        <w:t xml:space="preserve">perturbant au passage nos communications humaines, </w:t>
      </w:r>
      <w:r w:rsidR="00861070" w:rsidRPr="00367C86">
        <w:rPr>
          <w:rFonts w:ascii="Arial" w:hAnsi="Arial" w:cs="Arial"/>
          <w:sz w:val="20"/>
          <w:szCs w:val="20"/>
        </w:rPr>
        <w:t>mais de manière ponct</w:t>
      </w:r>
      <w:r w:rsidR="00851750" w:rsidRPr="00367C86">
        <w:rPr>
          <w:rFonts w:ascii="Arial" w:hAnsi="Arial" w:cs="Arial"/>
          <w:sz w:val="20"/>
          <w:szCs w:val="20"/>
        </w:rPr>
        <w:t>uelle.</w:t>
      </w:r>
    </w:p>
    <w:p w:rsidR="003C62CF" w:rsidRPr="00367C86" w:rsidRDefault="00851750" w:rsidP="00367C86">
      <w:pPr>
        <w:ind w:left="0" w:firstLine="0"/>
        <w:rPr>
          <w:rFonts w:ascii="Arial" w:hAnsi="Arial" w:cs="Arial"/>
          <w:sz w:val="20"/>
          <w:szCs w:val="20"/>
        </w:rPr>
      </w:pPr>
      <w:r w:rsidRPr="00367C86">
        <w:rPr>
          <w:rFonts w:ascii="Arial" w:hAnsi="Arial" w:cs="Arial"/>
          <w:sz w:val="20"/>
          <w:szCs w:val="20"/>
        </w:rPr>
        <w:t>Ainsi, s</w:t>
      </w:r>
      <w:r w:rsidR="00BB7E76" w:rsidRPr="00367C86">
        <w:rPr>
          <w:rFonts w:ascii="Arial" w:hAnsi="Arial" w:cs="Arial"/>
          <w:sz w:val="20"/>
          <w:szCs w:val="20"/>
        </w:rPr>
        <w:t>i le phénomène r</w:t>
      </w:r>
      <w:r w:rsidRPr="00367C86">
        <w:rPr>
          <w:rFonts w:ascii="Arial" w:hAnsi="Arial" w:cs="Arial"/>
          <w:sz w:val="20"/>
          <w:szCs w:val="20"/>
        </w:rPr>
        <w:t>adioélectrique est universel</w:t>
      </w:r>
      <w:r w:rsidR="00BB7E76" w:rsidRPr="00367C86">
        <w:rPr>
          <w:rFonts w:ascii="Arial" w:hAnsi="Arial" w:cs="Arial"/>
          <w:sz w:val="20"/>
          <w:szCs w:val="20"/>
        </w:rPr>
        <w:t xml:space="preserve">, </w:t>
      </w:r>
      <w:r w:rsidRPr="00367C86">
        <w:rPr>
          <w:rFonts w:ascii="Arial" w:hAnsi="Arial" w:cs="Arial"/>
          <w:sz w:val="20"/>
          <w:szCs w:val="20"/>
        </w:rPr>
        <w:t>les hyperfréquences</w:t>
      </w:r>
      <w:r w:rsidR="00607438" w:rsidRPr="00367C86">
        <w:rPr>
          <w:rFonts w:ascii="Arial" w:hAnsi="Arial" w:cs="Arial"/>
          <w:sz w:val="20"/>
          <w:szCs w:val="20"/>
        </w:rPr>
        <w:t xml:space="preserve"> utilisées pour les technologies sans fil</w:t>
      </w:r>
      <w:r w:rsidR="003C62CF" w:rsidRPr="00367C86">
        <w:rPr>
          <w:rFonts w:ascii="Arial" w:hAnsi="Arial" w:cs="Arial"/>
          <w:sz w:val="20"/>
          <w:szCs w:val="20"/>
        </w:rPr>
        <w:t>, de surcroit porteuses d’un signal informationnel,</w:t>
      </w:r>
      <w:r w:rsidR="00607438" w:rsidRPr="00367C86">
        <w:rPr>
          <w:rFonts w:ascii="Arial" w:hAnsi="Arial" w:cs="Arial"/>
          <w:sz w:val="20"/>
          <w:szCs w:val="20"/>
        </w:rPr>
        <w:t xml:space="preserve"> </w:t>
      </w:r>
      <w:r w:rsidR="003C62CF" w:rsidRPr="00367C86">
        <w:rPr>
          <w:rFonts w:ascii="Arial" w:hAnsi="Arial" w:cs="Arial"/>
          <w:sz w:val="20"/>
          <w:szCs w:val="20"/>
        </w:rPr>
        <w:t>comme nous l’avons vu, sont générées par l’espèce humaine.</w:t>
      </w:r>
    </w:p>
    <w:p w:rsidR="00BB7E76" w:rsidRPr="00367C86" w:rsidRDefault="00607438" w:rsidP="00367C86">
      <w:pPr>
        <w:ind w:left="0" w:firstLine="0"/>
        <w:rPr>
          <w:rFonts w:ascii="Arial" w:hAnsi="Arial" w:cs="Arial"/>
          <w:sz w:val="20"/>
          <w:szCs w:val="20"/>
        </w:rPr>
      </w:pPr>
      <w:r w:rsidRPr="00367C86">
        <w:rPr>
          <w:rFonts w:ascii="Arial" w:hAnsi="Arial" w:cs="Arial"/>
          <w:sz w:val="20"/>
          <w:szCs w:val="20"/>
        </w:rPr>
        <w:t>L’exploitation des bandes de fréquences du spectre électromagnétique est régulée, les fréquences sont allouées</w:t>
      </w:r>
      <w:r w:rsidR="002D6E15" w:rsidRPr="00367C86">
        <w:rPr>
          <w:rFonts w:ascii="Arial" w:hAnsi="Arial" w:cs="Arial"/>
          <w:sz w:val="20"/>
          <w:szCs w:val="20"/>
        </w:rPr>
        <w:t>. Le</w:t>
      </w:r>
      <w:r w:rsidR="00BB7E76" w:rsidRPr="00367C86">
        <w:rPr>
          <w:rFonts w:ascii="Arial" w:hAnsi="Arial" w:cs="Arial"/>
          <w:sz w:val="20"/>
          <w:szCs w:val="20"/>
        </w:rPr>
        <w:t>s émetteurs et récept</w:t>
      </w:r>
      <w:r w:rsidR="002D6E15" w:rsidRPr="00367C86">
        <w:rPr>
          <w:rFonts w:ascii="Arial" w:hAnsi="Arial" w:cs="Arial"/>
          <w:sz w:val="20"/>
          <w:szCs w:val="20"/>
        </w:rPr>
        <w:t xml:space="preserve">eurs de nos technologies </w:t>
      </w:r>
      <w:r w:rsidR="000876BA" w:rsidRPr="00367C86">
        <w:rPr>
          <w:rFonts w:ascii="Arial" w:hAnsi="Arial" w:cs="Arial"/>
          <w:sz w:val="20"/>
          <w:szCs w:val="20"/>
        </w:rPr>
        <w:t>san</w:t>
      </w:r>
      <w:r w:rsidR="003C62CF" w:rsidRPr="00367C86">
        <w:rPr>
          <w:rFonts w:ascii="Arial" w:hAnsi="Arial" w:cs="Arial"/>
          <w:sz w:val="20"/>
          <w:szCs w:val="20"/>
        </w:rPr>
        <w:t>s</w:t>
      </w:r>
      <w:r w:rsidR="000876BA" w:rsidRPr="00367C86">
        <w:rPr>
          <w:rFonts w:ascii="Arial" w:hAnsi="Arial" w:cs="Arial"/>
          <w:sz w:val="20"/>
          <w:szCs w:val="20"/>
        </w:rPr>
        <w:t xml:space="preserve"> fil émettent </w:t>
      </w:r>
      <w:r w:rsidR="002D6E15" w:rsidRPr="00367C86">
        <w:rPr>
          <w:rFonts w:ascii="Arial" w:hAnsi="Arial" w:cs="Arial"/>
          <w:sz w:val="20"/>
          <w:szCs w:val="20"/>
        </w:rPr>
        <w:t>des</w:t>
      </w:r>
      <w:r w:rsidRPr="00367C86">
        <w:rPr>
          <w:rFonts w:ascii="Arial" w:hAnsi="Arial" w:cs="Arial"/>
          <w:sz w:val="20"/>
          <w:szCs w:val="20"/>
        </w:rPr>
        <w:t xml:space="preserve"> </w:t>
      </w:r>
      <w:r w:rsidR="00BB7E76" w:rsidRPr="00367C86">
        <w:rPr>
          <w:rFonts w:ascii="Arial" w:hAnsi="Arial" w:cs="Arial"/>
          <w:sz w:val="20"/>
          <w:szCs w:val="20"/>
        </w:rPr>
        <w:t>champs électromagn</w:t>
      </w:r>
      <w:r w:rsidRPr="00367C86">
        <w:rPr>
          <w:rFonts w:ascii="Arial" w:hAnsi="Arial" w:cs="Arial"/>
          <w:sz w:val="20"/>
          <w:szCs w:val="20"/>
        </w:rPr>
        <w:t>étiques</w:t>
      </w:r>
      <w:r w:rsidR="002670C9" w:rsidRPr="00367C86">
        <w:rPr>
          <w:rStyle w:val="Appelnotedebasdep"/>
          <w:rFonts w:ascii="Arial" w:hAnsi="Arial" w:cs="Arial"/>
          <w:sz w:val="20"/>
          <w:szCs w:val="20"/>
        </w:rPr>
        <w:footnoteReference w:id="25"/>
      </w:r>
      <w:r w:rsidRPr="00367C86">
        <w:rPr>
          <w:rFonts w:ascii="Arial" w:hAnsi="Arial" w:cs="Arial"/>
          <w:sz w:val="20"/>
          <w:szCs w:val="20"/>
        </w:rPr>
        <w:t xml:space="preserve"> </w:t>
      </w:r>
      <w:r w:rsidR="003C62CF" w:rsidRPr="00367C86">
        <w:rPr>
          <w:rFonts w:ascii="Arial" w:hAnsi="Arial" w:cs="Arial"/>
          <w:sz w:val="20"/>
          <w:szCs w:val="20"/>
        </w:rPr>
        <w:t xml:space="preserve">dont on peut affirmer qu’ils sont </w:t>
      </w:r>
      <w:r w:rsidRPr="00367C86">
        <w:rPr>
          <w:rFonts w:ascii="Arial" w:hAnsi="Arial" w:cs="Arial"/>
          <w:sz w:val="20"/>
          <w:szCs w:val="20"/>
        </w:rPr>
        <w:t>de source anthropique</w:t>
      </w:r>
      <w:r w:rsidR="00815B78" w:rsidRPr="00367C86">
        <w:rPr>
          <w:rStyle w:val="Appelnotedebasdep"/>
          <w:rFonts w:ascii="Arial" w:hAnsi="Arial" w:cs="Arial"/>
          <w:sz w:val="20"/>
          <w:szCs w:val="20"/>
        </w:rPr>
        <w:footnoteReference w:id="26"/>
      </w:r>
      <w:r w:rsidRPr="00367C86">
        <w:rPr>
          <w:rFonts w:ascii="Arial" w:hAnsi="Arial" w:cs="Arial"/>
          <w:sz w:val="20"/>
          <w:szCs w:val="20"/>
        </w:rPr>
        <w:t>.</w:t>
      </w:r>
    </w:p>
    <w:p w:rsidR="00F729D7" w:rsidRPr="00367C86" w:rsidRDefault="00F729D7" w:rsidP="00367C86">
      <w:pPr>
        <w:ind w:left="0" w:firstLine="0"/>
        <w:rPr>
          <w:rFonts w:ascii="Arial" w:hAnsi="Arial" w:cs="Arial"/>
          <w:sz w:val="20"/>
          <w:szCs w:val="20"/>
        </w:rPr>
      </w:pPr>
    </w:p>
    <w:p w:rsidR="001C0A48" w:rsidRPr="00367C86" w:rsidRDefault="001C0A48" w:rsidP="00367C86">
      <w:pPr>
        <w:rPr>
          <w:rFonts w:ascii="Arial" w:hAnsi="Arial" w:cs="Arial"/>
          <w:sz w:val="20"/>
          <w:szCs w:val="20"/>
        </w:rPr>
      </w:pPr>
    </w:p>
    <w:p w:rsidR="0091482D" w:rsidRPr="00367C86" w:rsidRDefault="00CD293F" w:rsidP="009F3BB0">
      <w:pPr>
        <w:pStyle w:val="Paragraphedeliste"/>
        <w:numPr>
          <w:ilvl w:val="0"/>
          <w:numId w:val="9"/>
        </w:numPr>
        <w:rPr>
          <w:rFonts w:ascii="Arial" w:hAnsi="Arial" w:cs="Arial"/>
          <w:sz w:val="20"/>
          <w:szCs w:val="20"/>
          <w:u w:val="single"/>
        </w:rPr>
      </w:pPr>
      <w:r w:rsidRPr="00367C86">
        <w:rPr>
          <w:rFonts w:ascii="Arial" w:hAnsi="Arial" w:cs="Arial"/>
          <w:sz w:val="20"/>
          <w:szCs w:val="20"/>
          <w:u w:val="single"/>
        </w:rPr>
        <w:t>T</w:t>
      </w:r>
      <w:r w:rsidR="008B05A4" w:rsidRPr="00367C86">
        <w:rPr>
          <w:rFonts w:ascii="Arial" w:hAnsi="Arial" w:cs="Arial"/>
          <w:sz w:val="20"/>
          <w:szCs w:val="20"/>
          <w:u w:val="single"/>
        </w:rPr>
        <w:t>echnologies sans fil : un phénomène récent</w:t>
      </w:r>
    </w:p>
    <w:p w:rsidR="00EF2828" w:rsidRPr="00367C86" w:rsidRDefault="00EF2828" w:rsidP="00367C86">
      <w:pPr>
        <w:ind w:hanging="1"/>
        <w:rPr>
          <w:rFonts w:ascii="Arial" w:hAnsi="Arial" w:cs="Arial"/>
          <w:sz w:val="20"/>
          <w:szCs w:val="20"/>
        </w:rPr>
      </w:pPr>
    </w:p>
    <w:p w:rsidR="001C0A48" w:rsidRPr="00367C86" w:rsidRDefault="00594B4E" w:rsidP="00367C86">
      <w:pPr>
        <w:ind w:left="0" w:firstLine="0"/>
        <w:rPr>
          <w:rFonts w:ascii="Arial" w:hAnsi="Arial" w:cs="Arial"/>
          <w:sz w:val="20"/>
          <w:szCs w:val="20"/>
        </w:rPr>
      </w:pPr>
      <w:r w:rsidRPr="00367C86">
        <w:rPr>
          <w:rFonts w:ascii="Arial" w:hAnsi="Arial" w:cs="Arial"/>
          <w:sz w:val="20"/>
          <w:szCs w:val="20"/>
        </w:rPr>
        <w:t>Voici q</w:t>
      </w:r>
      <w:r w:rsidR="00E4145A" w:rsidRPr="00367C86">
        <w:rPr>
          <w:rFonts w:ascii="Arial" w:hAnsi="Arial" w:cs="Arial"/>
          <w:sz w:val="20"/>
          <w:szCs w:val="20"/>
        </w:rPr>
        <w:t>uelques dates </w:t>
      </w:r>
      <w:r w:rsidR="001F745D" w:rsidRPr="00367C86">
        <w:rPr>
          <w:rFonts w:ascii="Arial" w:hAnsi="Arial" w:cs="Arial"/>
          <w:sz w:val="20"/>
          <w:szCs w:val="20"/>
        </w:rPr>
        <w:t xml:space="preserve">illustrant cette caractéristique </w:t>
      </w:r>
      <w:r w:rsidR="00E4145A" w:rsidRPr="00367C86">
        <w:rPr>
          <w:rFonts w:ascii="Arial" w:hAnsi="Arial" w:cs="Arial"/>
          <w:sz w:val="20"/>
          <w:szCs w:val="20"/>
        </w:rPr>
        <w:t xml:space="preserve">: </w:t>
      </w:r>
    </w:p>
    <w:p w:rsidR="00E4145A" w:rsidRPr="00367C86" w:rsidRDefault="00E4145A" w:rsidP="00367C86">
      <w:pPr>
        <w:ind w:left="0" w:firstLine="0"/>
        <w:rPr>
          <w:rFonts w:ascii="Arial" w:hAnsi="Arial" w:cs="Arial"/>
          <w:sz w:val="20"/>
          <w:szCs w:val="20"/>
        </w:rPr>
      </w:pPr>
    </w:p>
    <w:p w:rsidR="001C0A48" w:rsidRPr="00367C86" w:rsidRDefault="001C0A48" w:rsidP="00367C86">
      <w:pPr>
        <w:rPr>
          <w:rFonts w:ascii="Arial" w:hAnsi="Arial" w:cs="Arial"/>
          <w:sz w:val="20"/>
          <w:szCs w:val="20"/>
        </w:rPr>
      </w:pPr>
      <w:r w:rsidRPr="00367C86">
        <w:rPr>
          <w:rFonts w:ascii="Arial" w:hAnsi="Arial" w:cs="Arial"/>
          <w:sz w:val="20"/>
          <w:szCs w:val="20"/>
        </w:rPr>
        <w:t>1930’s : création des premiers systèmes radar par Sir Robert Watson-Watt</w:t>
      </w:r>
      <w:r w:rsidRPr="00367C86">
        <w:rPr>
          <w:rStyle w:val="Appelnotedebasdep"/>
          <w:rFonts w:ascii="Arial" w:hAnsi="Arial" w:cs="Arial"/>
          <w:sz w:val="20"/>
          <w:szCs w:val="20"/>
        </w:rPr>
        <w:footnoteReference w:id="27"/>
      </w:r>
      <w:r w:rsidR="00FC17CF" w:rsidRPr="00367C86">
        <w:rPr>
          <w:rFonts w:ascii="Arial" w:hAnsi="Arial" w:cs="Arial"/>
          <w:sz w:val="20"/>
          <w:szCs w:val="20"/>
        </w:rPr>
        <w:t xml:space="preserve"> (Royaume-Uni)</w:t>
      </w:r>
    </w:p>
    <w:p w:rsidR="00477214" w:rsidRPr="00367C86" w:rsidRDefault="00477214" w:rsidP="00367C86">
      <w:pPr>
        <w:rPr>
          <w:rFonts w:ascii="Arial" w:hAnsi="Arial" w:cs="Arial"/>
          <w:sz w:val="20"/>
          <w:szCs w:val="20"/>
        </w:rPr>
      </w:pPr>
      <w:r w:rsidRPr="00367C86">
        <w:rPr>
          <w:rFonts w:ascii="Arial" w:hAnsi="Arial" w:cs="Arial"/>
          <w:sz w:val="20"/>
          <w:szCs w:val="20"/>
        </w:rPr>
        <w:t>1946 : Bell Labs invente le téléphone par balise (USA)</w:t>
      </w:r>
      <w:r w:rsidRPr="00367C86">
        <w:rPr>
          <w:rStyle w:val="Appelnotedebasdep"/>
          <w:rFonts w:ascii="Arial" w:hAnsi="Arial" w:cs="Arial"/>
          <w:sz w:val="20"/>
          <w:szCs w:val="20"/>
        </w:rPr>
        <w:footnoteReference w:id="28"/>
      </w:r>
    </w:p>
    <w:p w:rsidR="001C0A48" w:rsidRPr="00367C86" w:rsidRDefault="001C0A48" w:rsidP="00367C86">
      <w:pPr>
        <w:rPr>
          <w:rFonts w:ascii="Arial" w:hAnsi="Arial" w:cs="Arial"/>
          <w:sz w:val="20"/>
          <w:szCs w:val="20"/>
        </w:rPr>
      </w:pPr>
      <w:r w:rsidRPr="00367C86">
        <w:rPr>
          <w:rFonts w:ascii="Arial" w:hAnsi="Arial" w:cs="Arial"/>
          <w:sz w:val="20"/>
          <w:szCs w:val="20"/>
        </w:rPr>
        <w:t>1946 : l’opérateur AT&amp;T met en place le premier réseau de téléphonie mobile à St-Louis (Missouri</w:t>
      </w:r>
      <w:r w:rsidR="00FC17CF" w:rsidRPr="00367C86">
        <w:rPr>
          <w:rFonts w:ascii="Arial" w:hAnsi="Arial" w:cs="Arial"/>
          <w:sz w:val="20"/>
          <w:szCs w:val="20"/>
        </w:rPr>
        <w:t>, USA</w:t>
      </w:r>
      <w:r w:rsidRPr="00367C86">
        <w:rPr>
          <w:rFonts w:ascii="Arial" w:hAnsi="Arial" w:cs="Arial"/>
          <w:sz w:val="20"/>
          <w:szCs w:val="20"/>
        </w:rPr>
        <w:t>)</w:t>
      </w:r>
      <w:r w:rsidRPr="00367C86">
        <w:rPr>
          <w:rStyle w:val="Appelnotedebasdep"/>
          <w:rFonts w:ascii="Arial" w:hAnsi="Arial" w:cs="Arial"/>
          <w:sz w:val="20"/>
          <w:szCs w:val="20"/>
        </w:rPr>
        <w:footnoteReference w:id="29"/>
      </w:r>
    </w:p>
    <w:p w:rsidR="00FC17CF" w:rsidRPr="00367C86" w:rsidRDefault="001C0A48" w:rsidP="00367C86">
      <w:pPr>
        <w:rPr>
          <w:rFonts w:ascii="Arial" w:hAnsi="Arial" w:cs="Arial"/>
          <w:sz w:val="20"/>
          <w:szCs w:val="20"/>
        </w:rPr>
      </w:pPr>
      <w:r w:rsidRPr="00367C86">
        <w:rPr>
          <w:rFonts w:ascii="Arial" w:hAnsi="Arial" w:cs="Arial"/>
          <w:sz w:val="20"/>
          <w:szCs w:val="20"/>
        </w:rPr>
        <w:t xml:space="preserve">1947 : commercialisation du premier four à micro-ondes </w:t>
      </w:r>
      <w:r w:rsidR="00FC17CF" w:rsidRPr="00367C86">
        <w:rPr>
          <w:rFonts w:ascii="Arial" w:hAnsi="Arial" w:cs="Arial"/>
          <w:sz w:val="20"/>
          <w:szCs w:val="20"/>
        </w:rPr>
        <w:t>(USA)</w:t>
      </w:r>
    </w:p>
    <w:p w:rsidR="00FC17CF" w:rsidRPr="00367C86" w:rsidRDefault="00FC17CF" w:rsidP="00367C86">
      <w:pPr>
        <w:rPr>
          <w:rFonts w:ascii="Arial" w:hAnsi="Arial" w:cs="Arial"/>
          <w:sz w:val="20"/>
          <w:szCs w:val="20"/>
        </w:rPr>
      </w:pPr>
      <w:r w:rsidRPr="00367C86">
        <w:rPr>
          <w:rFonts w:ascii="Arial" w:hAnsi="Arial" w:cs="Arial"/>
          <w:sz w:val="20"/>
          <w:szCs w:val="20"/>
        </w:rPr>
        <w:t>1950’s : déploiement sur toute la France du réseau d’électricité entraînant une diffusion de CEM basse fréquence</w:t>
      </w:r>
      <w:r w:rsidRPr="00367C86">
        <w:rPr>
          <w:rStyle w:val="Appelnotedebasdep"/>
          <w:rFonts w:ascii="Arial" w:hAnsi="Arial" w:cs="Arial"/>
          <w:sz w:val="20"/>
          <w:szCs w:val="20"/>
        </w:rPr>
        <w:footnoteReference w:id="30"/>
      </w:r>
    </w:p>
    <w:p w:rsidR="001C0A48" w:rsidRPr="00367C86" w:rsidRDefault="001C0A48" w:rsidP="00367C86">
      <w:pPr>
        <w:rPr>
          <w:rFonts w:ascii="Arial" w:hAnsi="Arial" w:cs="Arial"/>
          <w:sz w:val="20"/>
          <w:szCs w:val="20"/>
        </w:rPr>
      </w:pPr>
      <w:r w:rsidRPr="00367C86">
        <w:rPr>
          <w:rFonts w:ascii="Arial" w:hAnsi="Arial" w:cs="Arial"/>
          <w:sz w:val="20"/>
          <w:szCs w:val="20"/>
        </w:rPr>
        <w:t>1956 : tout premier t</w:t>
      </w:r>
      <w:r w:rsidR="00AF15E3" w:rsidRPr="00367C86">
        <w:rPr>
          <w:rFonts w:ascii="Arial" w:hAnsi="Arial" w:cs="Arial"/>
          <w:sz w:val="20"/>
          <w:szCs w:val="20"/>
        </w:rPr>
        <w:t>éléphone mobile (Ericsson</w:t>
      </w:r>
      <w:r w:rsidRPr="00367C86">
        <w:rPr>
          <w:rFonts w:ascii="Arial" w:hAnsi="Arial" w:cs="Arial"/>
          <w:sz w:val="20"/>
          <w:szCs w:val="20"/>
        </w:rPr>
        <w:t>) mais il pèse encore 40 kgs…</w:t>
      </w:r>
      <w:r w:rsidRPr="00367C86">
        <w:rPr>
          <w:rStyle w:val="Appelnotedebasdep"/>
          <w:rFonts w:ascii="Arial" w:hAnsi="Arial" w:cs="Arial"/>
          <w:sz w:val="20"/>
          <w:szCs w:val="20"/>
        </w:rPr>
        <w:footnoteReference w:id="31"/>
      </w:r>
      <w:r w:rsidR="00AF15E3" w:rsidRPr="00367C86">
        <w:rPr>
          <w:rFonts w:ascii="Arial" w:hAnsi="Arial" w:cs="Arial"/>
          <w:sz w:val="20"/>
          <w:szCs w:val="20"/>
        </w:rPr>
        <w:t xml:space="preserve"> (Suède)</w:t>
      </w:r>
    </w:p>
    <w:p w:rsidR="002A41DE" w:rsidRPr="00367C86" w:rsidRDefault="002A41DE" w:rsidP="00367C86">
      <w:pPr>
        <w:rPr>
          <w:rFonts w:ascii="Arial" w:hAnsi="Arial" w:cs="Arial"/>
          <w:sz w:val="20"/>
          <w:szCs w:val="20"/>
        </w:rPr>
      </w:pPr>
      <w:r w:rsidRPr="00367C86">
        <w:rPr>
          <w:rFonts w:ascii="Arial" w:hAnsi="Arial" w:cs="Arial"/>
          <w:sz w:val="20"/>
          <w:szCs w:val="20"/>
        </w:rPr>
        <w:t>1962 : lancement de Telstar, premier satellite de télécommunications (depuis les USA)</w:t>
      </w:r>
    </w:p>
    <w:p w:rsidR="001C0A48" w:rsidRPr="00367C86" w:rsidRDefault="001C0A48" w:rsidP="00367C86">
      <w:pPr>
        <w:rPr>
          <w:rFonts w:ascii="Arial" w:hAnsi="Arial" w:cs="Arial"/>
          <w:sz w:val="20"/>
          <w:szCs w:val="20"/>
        </w:rPr>
      </w:pPr>
      <w:r w:rsidRPr="00367C86">
        <w:rPr>
          <w:rFonts w:ascii="Arial" w:hAnsi="Arial" w:cs="Arial"/>
          <w:sz w:val="20"/>
          <w:szCs w:val="20"/>
        </w:rPr>
        <w:t xml:space="preserve">1975 : commercialisation d’un </w:t>
      </w:r>
      <w:r w:rsidR="005B6DE3" w:rsidRPr="00367C86">
        <w:rPr>
          <w:rFonts w:ascii="Arial" w:hAnsi="Arial" w:cs="Arial"/>
          <w:sz w:val="20"/>
          <w:szCs w:val="20"/>
        </w:rPr>
        <w:t xml:space="preserve">four </w:t>
      </w:r>
      <w:r w:rsidRPr="00367C86">
        <w:rPr>
          <w:rFonts w:ascii="Arial" w:hAnsi="Arial" w:cs="Arial"/>
          <w:sz w:val="20"/>
          <w:szCs w:val="20"/>
        </w:rPr>
        <w:t>micro-ondes grand public (pas de succès commercial avant les 1980’s)</w:t>
      </w:r>
      <w:r w:rsidRPr="00367C86">
        <w:rPr>
          <w:rStyle w:val="Appelnotedebasdep"/>
          <w:rFonts w:ascii="Arial" w:hAnsi="Arial" w:cs="Arial"/>
          <w:sz w:val="20"/>
          <w:szCs w:val="20"/>
        </w:rPr>
        <w:footnoteReference w:id="32"/>
      </w:r>
      <w:r w:rsidR="00AF15E3" w:rsidRPr="00367C86">
        <w:rPr>
          <w:rFonts w:ascii="Arial" w:hAnsi="Arial" w:cs="Arial"/>
          <w:sz w:val="20"/>
          <w:szCs w:val="20"/>
        </w:rPr>
        <w:t xml:space="preserve"> (USA)</w:t>
      </w:r>
    </w:p>
    <w:p w:rsidR="001C0A48" w:rsidRPr="00367C86" w:rsidRDefault="001C0A48" w:rsidP="00367C86">
      <w:pPr>
        <w:rPr>
          <w:rFonts w:ascii="Arial" w:hAnsi="Arial" w:cs="Arial"/>
          <w:sz w:val="20"/>
          <w:szCs w:val="20"/>
        </w:rPr>
      </w:pPr>
      <w:r w:rsidRPr="00367C86">
        <w:rPr>
          <w:rFonts w:ascii="Arial" w:hAnsi="Arial" w:cs="Arial"/>
          <w:sz w:val="20"/>
          <w:szCs w:val="20"/>
        </w:rPr>
        <w:t>1984 : Steve Jobs présente le premier ordinateur de bureau grand public (Macintosh, « Insanely great ! »)</w:t>
      </w:r>
      <w:r w:rsidR="00E855F4" w:rsidRPr="00367C86">
        <w:rPr>
          <w:rFonts w:ascii="Arial" w:hAnsi="Arial" w:cs="Arial"/>
          <w:sz w:val="20"/>
          <w:szCs w:val="20"/>
        </w:rPr>
        <w:t xml:space="preserve"> </w:t>
      </w:r>
    </w:p>
    <w:p w:rsidR="005D14E7" w:rsidRPr="00367C86" w:rsidRDefault="005D14E7" w:rsidP="00367C86">
      <w:pPr>
        <w:rPr>
          <w:rFonts w:ascii="Arial" w:hAnsi="Arial" w:cs="Arial"/>
          <w:sz w:val="20"/>
          <w:szCs w:val="20"/>
        </w:rPr>
      </w:pPr>
      <w:r w:rsidRPr="00367C86">
        <w:rPr>
          <w:rFonts w:ascii="Arial" w:hAnsi="Arial" w:cs="Arial"/>
          <w:sz w:val="20"/>
          <w:szCs w:val="20"/>
        </w:rPr>
        <w:t>1986 : création en France du réseau Radiocom 2000</w:t>
      </w:r>
      <w:r w:rsidR="00C1647B" w:rsidRPr="00367C86">
        <w:rPr>
          <w:rFonts w:ascii="Arial" w:hAnsi="Arial" w:cs="Arial"/>
          <w:sz w:val="20"/>
          <w:szCs w:val="20"/>
        </w:rPr>
        <w:t>, réseau 1G</w:t>
      </w:r>
      <w:r w:rsidR="008E22C1" w:rsidRPr="00367C86">
        <w:rPr>
          <w:rStyle w:val="Appelnotedebasdep"/>
          <w:rFonts w:ascii="Arial" w:hAnsi="Arial" w:cs="Arial"/>
          <w:sz w:val="20"/>
          <w:szCs w:val="20"/>
        </w:rPr>
        <w:footnoteReference w:id="33"/>
      </w:r>
      <w:r w:rsidR="00C1647B" w:rsidRPr="00367C86">
        <w:rPr>
          <w:rFonts w:ascii="Arial" w:hAnsi="Arial" w:cs="Arial"/>
          <w:sz w:val="20"/>
          <w:szCs w:val="20"/>
        </w:rPr>
        <w:t>. Analogique (ondes continues)</w:t>
      </w:r>
    </w:p>
    <w:p w:rsidR="008B7FA3" w:rsidRPr="00367C86" w:rsidRDefault="007E049B" w:rsidP="00367C86">
      <w:pPr>
        <w:rPr>
          <w:rFonts w:ascii="Arial" w:hAnsi="Arial" w:cs="Arial"/>
          <w:sz w:val="20"/>
          <w:szCs w:val="20"/>
          <w:shd w:val="clear" w:color="auto" w:fill="FFFFFF"/>
        </w:rPr>
      </w:pPr>
      <w:r w:rsidRPr="00367C86">
        <w:rPr>
          <w:rFonts w:ascii="Arial" w:hAnsi="Arial" w:cs="Arial"/>
          <w:sz w:val="20"/>
          <w:szCs w:val="20"/>
        </w:rPr>
        <w:t xml:space="preserve">1992 : activation </w:t>
      </w:r>
      <w:r w:rsidR="008B7FA3" w:rsidRPr="00367C86">
        <w:rPr>
          <w:rFonts w:ascii="Arial" w:hAnsi="Arial" w:cs="Arial"/>
          <w:sz w:val="20"/>
          <w:szCs w:val="20"/>
        </w:rPr>
        <w:t xml:space="preserve">du </w:t>
      </w:r>
      <w:r w:rsidR="003B0231" w:rsidRPr="00367C86">
        <w:rPr>
          <w:rFonts w:ascii="Arial" w:hAnsi="Arial" w:cs="Arial"/>
          <w:sz w:val="20"/>
          <w:szCs w:val="20"/>
        </w:rPr>
        <w:t xml:space="preserve">réseau </w:t>
      </w:r>
      <w:r w:rsidR="00BF3686" w:rsidRPr="00367C86">
        <w:rPr>
          <w:rFonts w:ascii="Arial" w:hAnsi="Arial" w:cs="Arial"/>
          <w:sz w:val="20"/>
          <w:szCs w:val="20"/>
        </w:rPr>
        <w:t>2G</w:t>
      </w:r>
      <w:r w:rsidR="00EF2828" w:rsidRPr="00367C86">
        <w:rPr>
          <w:rFonts w:ascii="Arial" w:hAnsi="Arial" w:cs="Arial"/>
          <w:sz w:val="20"/>
          <w:szCs w:val="20"/>
          <w:shd w:val="clear" w:color="auto" w:fill="FFFFFF"/>
        </w:rPr>
        <w:t xml:space="preserve"> </w:t>
      </w:r>
      <w:r w:rsidRPr="00367C86">
        <w:rPr>
          <w:rFonts w:ascii="Arial" w:hAnsi="Arial" w:cs="Arial"/>
          <w:sz w:val="20"/>
          <w:szCs w:val="20"/>
          <w:shd w:val="clear" w:color="auto" w:fill="FFFFFF"/>
        </w:rPr>
        <w:t>en France</w:t>
      </w:r>
    </w:p>
    <w:p w:rsidR="00477214" w:rsidRPr="00367C86" w:rsidRDefault="00477214" w:rsidP="00367C86">
      <w:pPr>
        <w:rPr>
          <w:rFonts w:ascii="Arial" w:hAnsi="Arial" w:cs="Arial"/>
          <w:sz w:val="20"/>
          <w:szCs w:val="20"/>
          <w:shd w:val="clear" w:color="auto" w:fill="FFFFFF"/>
        </w:rPr>
      </w:pPr>
      <w:r w:rsidRPr="00367C86">
        <w:rPr>
          <w:rFonts w:ascii="Arial" w:hAnsi="Arial" w:cs="Arial"/>
          <w:sz w:val="20"/>
          <w:szCs w:val="20"/>
          <w:shd w:val="clear" w:color="auto" w:fill="FFFFFF"/>
        </w:rPr>
        <w:t>1990’s : le téléphone portable devient un produit de consommation courante</w:t>
      </w:r>
      <w:r w:rsidR="007C3893" w:rsidRPr="00367C86">
        <w:rPr>
          <w:rFonts w:ascii="Arial" w:hAnsi="Arial" w:cs="Arial"/>
          <w:sz w:val="20"/>
          <w:szCs w:val="20"/>
          <w:shd w:val="clear" w:color="auto" w:fill="FFFFFF"/>
        </w:rPr>
        <w:t xml:space="preserve"> en </w:t>
      </w:r>
      <w:r w:rsidR="008B70AC" w:rsidRPr="00367C86">
        <w:rPr>
          <w:rFonts w:ascii="Arial" w:hAnsi="Arial" w:cs="Arial"/>
          <w:sz w:val="20"/>
          <w:szCs w:val="20"/>
          <w:shd w:val="clear" w:color="auto" w:fill="FFFFFF"/>
        </w:rPr>
        <w:t>France</w:t>
      </w:r>
    </w:p>
    <w:p w:rsidR="008B70AC" w:rsidRPr="00367C86" w:rsidRDefault="008B70AC" w:rsidP="00367C86">
      <w:pPr>
        <w:rPr>
          <w:rFonts w:ascii="Arial" w:hAnsi="Arial" w:cs="Arial"/>
          <w:sz w:val="20"/>
          <w:szCs w:val="20"/>
          <w:shd w:val="clear" w:color="auto" w:fill="FFFFFF"/>
        </w:rPr>
      </w:pPr>
      <w:r w:rsidRPr="00367C86">
        <w:rPr>
          <w:rFonts w:ascii="Arial" w:hAnsi="Arial" w:cs="Arial"/>
          <w:sz w:val="20"/>
          <w:szCs w:val="20"/>
          <w:shd w:val="clear" w:color="auto" w:fill="FFFFFF"/>
        </w:rPr>
        <w:t>1997 : invention du Wifi par John O’Sullivan et son équipe de chercheurs (Australie)</w:t>
      </w:r>
    </w:p>
    <w:p w:rsidR="00CE1EF1" w:rsidRPr="00367C86" w:rsidRDefault="00CE1EF1" w:rsidP="00367C86">
      <w:pPr>
        <w:rPr>
          <w:rFonts w:ascii="Arial" w:hAnsi="Arial" w:cs="Arial"/>
          <w:sz w:val="20"/>
          <w:szCs w:val="20"/>
          <w:shd w:val="clear" w:color="auto" w:fill="FFFFFF"/>
        </w:rPr>
      </w:pPr>
      <w:r w:rsidRPr="00367C86">
        <w:rPr>
          <w:rFonts w:ascii="Arial" w:hAnsi="Arial" w:cs="Arial"/>
          <w:sz w:val="20"/>
          <w:szCs w:val="20"/>
          <w:shd w:val="clear" w:color="auto" w:fill="FFFFFF"/>
        </w:rPr>
        <w:t>2003 : autorisation sans dérogation d</w:t>
      </w:r>
      <w:r w:rsidR="00861070" w:rsidRPr="00367C86">
        <w:rPr>
          <w:rFonts w:ascii="Arial" w:hAnsi="Arial" w:cs="Arial"/>
          <w:sz w:val="20"/>
          <w:szCs w:val="20"/>
          <w:shd w:val="clear" w:color="auto" w:fill="FFFFFF"/>
        </w:rPr>
        <w:t>es réseaux Wif</w:t>
      </w:r>
      <w:r w:rsidRPr="00367C86">
        <w:rPr>
          <w:rFonts w:ascii="Arial" w:hAnsi="Arial" w:cs="Arial"/>
          <w:sz w:val="20"/>
          <w:szCs w:val="20"/>
          <w:shd w:val="clear" w:color="auto" w:fill="FFFFFF"/>
        </w:rPr>
        <w:t>i da</w:t>
      </w:r>
      <w:r w:rsidR="00CC7151" w:rsidRPr="00367C86">
        <w:rPr>
          <w:rFonts w:ascii="Arial" w:hAnsi="Arial" w:cs="Arial"/>
          <w:sz w:val="20"/>
          <w:szCs w:val="20"/>
          <w:shd w:val="clear" w:color="auto" w:fill="FFFFFF"/>
        </w:rPr>
        <w:t xml:space="preserve">ns la totalité des départements </w:t>
      </w:r>
      <w:r w:rsidRPr="00367C86">
        <w:rPr>
          <w:rFonts w:ascii="Arial" w:hAnsi="Arial" w:cs="Arial"/>
          <w:sz w:val="20"/>
          <w:szCs w:val="20"/>
          <w:shd w:val="clear" w:color="auto" w:fill="FFFFFF"/>
        </w:rPr>
        <w:t>français</w:t>
      </w:r>
    </w:p>
    <w:p w:rsidR="003B0231" w:rsidRPr="00367C86" w:rsidRDefault="00815E78" w:rsidP="00367C86">
      <w:pPr>
        <w:rPr>
          <w:rFonts w:ascii="Arial" w:hAnsi="Arial" w:cs="Arial"/>
          <w:sz w:val="20"/>
          <w:szCs w:val="20"/>
          <w:shd w:val="clear" w:color="auto" w:fill="FFFFFF"/>
        </w:rPr>
      </w:pPr>
      <w:r w:rsidRPr="00367C86">
        <w:rPr>
          <w:rFonts w:ascii="Arial" w:hAnsi="Arial" w:cs="Arial"/>
          <w:sz w:val="20"/>
          <w:szCs w:val="20"/>
          <w:shd w:val="clear" w:color="auto" w:fill="FFFFFF"/>
        </w:rPr>
        <w:t>2004</w:t>
      </w:r>
      <w:r w:rsidR="003B0231" w:rsidRPr="00367C86">
        <w:rPr>
          <w:rFonts w:ascii="Arial" w:hAnsi="Arial" w:cs="Arial"/>
          <w:sz w:val="20"/>
          <w:szCs w:val="20"/>
          <w:shd w:val="clear" w:color="auto" w:fill="FFFFFF"/>
        </w:rPr>
        <w:t xml:space="preserve"> : </w:t>
      </w:r>
      <w:r w:rsidR="003B0231" w:rsidRPr="00367C86">
        <w:rPr>
          <w:rFonts w:ascii="Arial" w:hAnsi="Arial" w:cs="Arial"/>
          <w:sz w:val="20"/>
          <w:szCs w:val="20"/>
        </w:rPr>
        <w:t xml:space="preserve">lancement en France du réseau </w:t>
      </w:r>
      <w:r w:rsidR="003B0231" w:rsidRPr="00367C86">
        <w:rPr>
          <w:rFonts w:ascii="Arial" w:hAnsi="Arial" w:cs="Arial"/>
          <w:sz w:val="20"/>
          <w:szCs w:val="20"/>
          <w:shd w:val="clear" w:color="auto" w:fill="FFFFFF"/>
        </w:rPr>
        <w:t>3G (système UMTS - Universal Mobile Telecommunications System)</w:t>
      </w:r>
    </w:p>
    <w:p w:rsidR="001C0A48" w:rsidRPr="00367C86" w:rsidRDefault="001C0A48" w:rsidP="00367C86">
      <w:pPr>
        <w:ind w:left="0" w:firstLine="0"/>
        <w:rPr>
          <w:rFonts w:ascii="Arial" w:hAnsi="Arial" w:cs="Arial"/>
          <w:sz w:val="20"/>
          <w:szCs w:val="20"/>
        </w:rPr>
      </w:pPr>
      <w:r w:rsidRPr="00367C86">
        <w:rPr>
          <w:rFonts w:ascii="Arial" w:hAnsi="Arial" w:cs="Arial"/>
          <w:sz w:val="20"/>
          <w:szCs w:val="20"/>
        </w:rPr>
        <w:t>2007 : présentation du premier smartphone (Iphone)</w:t>
      </w:r>
      <w:r w:rsidR="00AF15E3" w:rsidRPr="00367C86">
        <w:rPr>
          <w:rFonts w:ascii="Arial" w:hAnsi="Arial" w:cs="Arial"/>
          <w:sz w:val="20"/>
          <w:szCs w:val="20"/>
        </w:rPr>
        <w:t xml:space="preserve"> (USA)</w:t>
      </w:r>
    </w:p>
    <w:p w:rsidR="001C0A48" w:rsidRPr="00367C86" w:rsidRDefault="001C0A48" w:rsidP="00367C86">
      <w:pPr>
        <w:ind w:left="0" w:firstLine="0"/>
        <w:rPr>
          <w:rFonts w:ascii="Arial" w:hAnsi="Arial" w:cs="Arial"/>
          <w:sz w:val="20"/>
          <w:szCs w:val="20"/>
        </w:rPr>
      </w:pPr>
      <w:r w:rsidRPr="00367C86">
        <w:rPr>
          <w:rFonts w:ascii="Arial" w:hAnsi="Arial" w:cs="Arial"/>
          <w:sz w:val="20"/>
          <w:szCs w:val="20"/>
        </w:rPr>
        <w:t>2010 </w:t>
      </w:r>
      <w:r w:rsidR="00AE36F0" w:rsidRPr="00367C86">
        <w:rPr>
          <w:rFonts w:ascii="Arial" w:hAnsi="Arial" w:cs="Arial"/>
          <w:sz w:val="20"/>
          <w:szCs w:val="20"/>
        </w:rPr>
        <w:t xml:space="preserve">: présentation de l’application </w:t>
      </w:r>
      <w:r w:rsidRPr="00367C86">
        <w:rPr>
          <w:rFonts w:ascii="Arial" w:hAnsi="Arial" w:cs="Arial"/>
          <w:sz w:val="20"/>
          <w:szCs w:val="20"/>
        </w:rPr>
        <w:t>Facetime</w:t>
      </w:r>
      <w:r w:rsidR="00AF15E3" w:rsidRPr="00367C86">
        <w:rPr>
          <w:rFonts w:ascii="Arial" w:hAnsi="Arial" w:cs="Arial"/>
          <w:sz w:val="20"/>
          <w:szCs w:val="20"/>
        </w:rPr>
        <w:t xml:space="preserve"> (USA)</w:t>
      </w:r>
    </w:p>
    <w:p w:rsidR="00594B4E" w:rsidRPr="00367C86" w:rsidRDefault="00594B4E" w:rsidP="00367C86">
      <w:pPr>
        <w:ind w:left="0" w:firstLine="0"/>
        <w:rPr>
          <w:rFonts w:ascii="Arial" w:hAnsi="Arial" w:cs="Arial"/>
          <w:sz w:val="20"/>
          <w:szCs w:val="20"/>
        </w:rPr>
      </w:pPr>
      <w:r w:rsidRPr="00367C86">
        <w:rPr>
          <w:rFonts w:ascii="Arial" w:hAnsi="Arial" w:cs="Arial"/>
          <w:sz w:val="20"/>
          <w:szCs w:val="20"/>
        </w:rPr>
        <w:t>2012 : lancement de la première montre connectée via smartphone (Sony SmartWatch, Japon)</w:t>
      </w:r>
    </w:p>
    <w:p w:rsidR="00815E78" w:rsidRPr="00367C86" w:rsidRDefault="00CB1235" w:rsidP="00367C86">
      <w:pPr>
        <w:ind w:left="0" w:firstLine="0"/>
        <w:rPr>
          <w:rFonts w:ascii="Arial" w:hAnsi="Arial" w:cs="Arial"/>
          <w:sz w:val="20"/>
          <w:szCs w:val="20"/>
          <w:shd w:val="clear" w:color="auto" w:fill="FFFFFF"/>
        </w:rPr>
      </w:pPr>
      <w:r w:rsidRPr="00367C86">
        <w:rPr>
          <w:rFonts w:ascii="Arial" w:hAnsi="Arial" w:cs="Arial"/>
          <w:sz w:val="20"/>
          <w:szCs w:val="20"/>
        </w:rPr>
        <w:t>2013 : déploiement</w:t>
      </w:r>
      <w:r w:rsidR="00815E78" w:rsidRPr="00367C86">
        <w:rPr>
          <w:rFonts w:ascii="Arial" w:hAnsi="Arial" w:cs="Arial"/>
          <w:sz w:val="20"/>
          <w:szCs w:val="20"/>
        </w:rPr>
        <w:t xml:space="preserve"> en France du réseau 4G (</w:t>
      </w:r>
      <w:r w:rsidR="00815E78" w:rsidRPr="00367C86">
        <w:rPr>
          <w:rFonts w:ascii="Arial" w:hAnsi="Arial" w:cs="Arial"/>
          <w:sz w:val="20"/>
          <w:szCs w:val="20"/>
          <w:shd w:val="clear" w:color="auto" w:fill="FFFFFF"/>
        </w:rPr>
        <w:t>système LTE - Long term evolution)</w:t>
      </w:r>
      <w:r w:rsidR="00815E78" w:rsidRPr="00367C86">
        <w:rPr>
          <w:rStyle w:val="Appelnotedebasdep"/>
          <w:rFonts w:ascii="Arial" w:hAnsi="Arial" w:cs="Arial"/>
          <w:sz w:val="20"/>
          <w:szCs w:val="20"/>
          <w:shd w:val="clear" w:color="auto" w:fill="FFFFFF"/>
        </w:rPr>
        <w:footnoteReference w:id="34"/>
      </w:r>
    </w:p>
    <w:p w:rsidR="00BF3686" w:rsidRPr="00367C86" w:rsidRDefault="00594B4E" w:rsidP="00367C86">
      <w:pPr>
        <w:ind w:left="0" w:firstLine="0"/>
        <w:rPr>
          <w:rFonts w:ascii="Arial" w:hAnsi="Arial" w:cs="Arial"/>
          <w:sz w:val="20"/>
          <w:szCs w:val="20"/>
          <w:shd w:val="clear" w:color="auto" w:fill="FFFFFF"/>
        </w:rPr>
      </w:pPr>
      <w:r w:rsidRPr="00367C86">
        <w:rPr>
          <w:rFonts w:ascii="Arial" w:hAnsi="Arial" w:cs="Arial"/>
          <w:sz w:val="20"/>
          <w:szCs w:val="20"/>
          <w:shd w:val="clear" w:color="auto" w:fill="FFFFFF"/>
        </w:rPr>
        <w:t>2015 : r</w:t>
      </w:r>
      <w:r w:rsidR="00BF3686" w:rsidRPr="00367C86">
        <w:rPr>
          <w:rFonts w:ascii="Arial" w:hAnsi="Arial" w:cs="Arial"/>
          <w:sz w:val="20"/>
          <w:szCs w:val="20"/>
          <w:shd w:val="clear" w:color="auto" w:fill="FFFFFF"/>
        </w:rPr>
        <w:t>éférentiel pour le déploiement du</w:t>
      </w:r>
      <w:r w:rsidR="00066394" w:rsidRPr="00367C86">
        <w:rPr>
          <w:rFonts w:ascii="Arial" w:hAnsi="Arial" w:cs="Arial"/>
          <w:sz w:val="20"/>
          <w:szCs w:val="20"/>
          <w:shd w:val="clear" w:color="auto" w:fill="FFFFFF"/>
        </w:rPr>
        <w:t xml:space="preserve"> Wifi dans les écoles (France, P</w:t>
      </w:r>
      <w:r w:rsidR="00BF3686" w:rsidRPr="00367C86">
        <w:rPr>
          <w:rFonts w:ascii="Arial" w:hAnsi="Arial" w:cs="Arial"/>
          <w:sz w:val="20"/>
          <w:szCs w:val="20"/>
          <w:shd w:val="clear" w:color="auto" w:fill="FFFFFF"/>
        </w:rPr>
        <w:t>lan numérique pour l’éducation</w:t>
      </w:r>
      <w:r w:rsidR="00066394" w:rsidRPr="00367C86">
        <w:rPr>
          <w:rStyle w:val="Appelnotedebasdep"/>
          <w:rFonts w:ascii="Arial" w:hAnsi="Arial" w:cs="Arial"/>
          <w:sz w:val="20"/>
          <w:szCs w:val="20"/>
          <w:shd w:val="clear" w:color="auto" w:fill="FFFFFF"/>
        </w:rPr>
        <w:footnoteReference w:id="35"/>
      </w:r>
      <w:r w:rsidR="00BF3686" w:rsidRPr="00367C86">
        <w:rPr>
          <w:rFonts w:ascii="Arial" w:hAnsi="Arial" w:cs="Arial"/>
          <w:sz w:val="20"/>
          <w:szCs w:val="20"/>
          <w:shd w:val="clear" w:color="auto" w:fill="FFFFFF"/>
        </w:rPr>
        <w:t>)</w:t>
      </w:r>
    </w:p>
    <w:p w:rsidR="00594B4E" w:rsidRPr="00367C86" w:rsidRDefault="00594B4E" w:rsidP="00367C86">
      <w:pPr>
        <w:ind w:left="0" w:firstLine="0"/>
        <w:rPr>
          <w:rFonts w:ascii="Arial" w:hAnsi="Arial" w:cs="Arial"/>
          <w:sz w:val="20"/>
          <w:szCs w:val="20"/>
          <w:shd w:val="clear" w:color="auto" w:fill="FFFFFF"/>
        </w:rPr>
      </w:pPr>
      <w:r w:rsidRPr="00367C86">
        <w:rPr>
          <w:rFonts w:ascii="Arial" w:hAnsi="Arial" w:cs="Arial"/>
          <w:sz w:val="20"/>
          <w:szCs w:val="20"/>
          <w:shd w:val="clear" w:color="auto" w:fill="FFFFFF"/>
        </w:rPr>
        <w:t>2017 : la région Ile-de-France expérimente le plan « Lycées 100% numériques » dans 8 établissements</w:t>
      </w:r>
    </w:p>
    <w:p w:rsidR="00C1647B" w:rsidRPr="00367C86" w:rsidRDefault="00815E78" w:rsidP="00367C86">
      <w:pPr>
        <w:ind w:left="0" w:firstLine="0"/>
        <w:rPr>
          <w:rFonts w:ascii="Arial" w:hAnsi="Arial" w:cs="Arial"/>
          <w:sz w:val="20"/>
          <w:szCs w:val="20"/>
        </w:rPr>
      </w:pPr>
      <w:r w:rsidRPr="00367C86">
        <w:rPr>
          <w:rFonts w:ascii="Arial" w:hAnsi="Arial" w:cs="Arial"/>
          <w:sz w:val="20"/>
          <w:szCs w:val="20"/>
          <w:shd w:val="clear" w:color="auto" w:fill="FFFFFF"/>
        </w:rPr>
        <w:t>2020</w:t>
      </w:r>
      <w:r w:rsidR="00C1647B" w:rsidRPr="00367C86">
        <w:rPr>
          <w:rFonts w:ascii="Arial" w:hAnsi="Arial" w:cs="Arial"/>
          <w:sz w:val="20"/>
          <w:szCs w:val="20"/>
          <w:shd w:val="clear" w:color="auto" w:fill="FFFFFF"/>
        </w:rPr>
        <w:t xml:space="preserve"> : </w:t>
      </w:r>
      <w:r w:rsidR="00CB1235" w:rsidRPr="00367C86">
        <w:rPr>
          <w:rFonts w:ascii="Arial" w:hAnsi="Arial" w:cs="Arial"/>
          <w:sz w:val="20"/>
          <w:szCs w:val="20"/>
        </w:rPr>
        <w:t>déploiement</w:t>
      </w:r>
      <w:r w:rsidR="00C1647B" w:rsidRPr="00367C86">
        <w:rPr>
          <w:rFonts w:ascii="Arial" w:hAnsi="Arial" w:cs="Arial"/>
          <w:sz w:val="20"/>
          <w:szCs w:val="20"/>
        </w:rPr>
        <w:t xml:space="preserve"> en France du réseau 5G</w:t>
      </w:r>
    </w:p>
    <w:p w:rsidR="001664AE" w:rsidRPr="00367C86" w:rsidRDefault="001664AE" w:rsidP="00367C86">
      <w:pPr>
        <w:ind w:left="0" w:firstLine="0"/>
        <w:rPr>
          <w:rFonts w:ascii="Arial" w:hAnsi="Arial" w:cs="Arial"/>
          <w:sz w:val="20"/>
          <w:szCs w:val="20"/>
        </w:rPr>
      </w:pPr>
    </w:p>
    <w:p w:rsidR="00FD5DED" w:rsidRPr="00367C86" w:rsidRDefault="00FD5DED" w:rsidP="00367C86">
      <w:pPr>
        <w:ind w:left="0" w:firstLine="0"/>
        <w:rPr>
          <w:rFonts w:ascii="Arial" w:hAnsi="Arial" w:cs="Arial"/>
          <w:sz w:val="20"/>
          <w:szCs w:val="20"/>
        </w:rPr>
      </w:pPr>
    </w:p>
    <w:p w:rsidR="00FD5DED" w:rsidRPr="00367C86" w:rsidRDefault="009E2DE8" w:rsidP="009F3BB0">
      <w:pPr>
        <w:pStyle w:val="Paragraphedeliste"/>
        <w:numPr>
          <w:ilvl w:val="0"/>
          <w:numId w:val="9"/>
        </w:numPr>
        <w:rPr>
          <w:rFonts w:ascii="Arial" w:hAnsi="Arial" w:cs="Arial"/>
          <w:sz w:val="20"/>
          <w:szCs w:val="20"/>
          <w:u w:val="single"/>
          <w:shd w:val="clear" w:color="auto" w:fill="FFFFFF"/>
        </w:rPr>
      </w:pPr>
      <w:r w:rsidRPr="00367C86">
        <w:rPr>
          <w:rFonts w:ascii="Arial" w:hAnsi="Arial" w:cs="Arial"/>
          <w:sz w:val="20"/>
          <w:szCs w:val="20"/>
          <w:u w:val="single"/>
          <w:shd w:val="clear" w:color="auto" w:fill="FFFFFF"/>
        </w:rPr>
        <w:t>Technologies sans fil : un phénomène évolutif </w:t>
      </w:r>
    </w:p>
    <w:p w:rsidR="00FD5DED" w:rsidRPr="00367C86" w:rsidRDefault="00FD5DED" w:rsidP="00367C86">
      <w:pPr>
        <w:rPr>
          <w:rFonts w:ascii="Arial" w:hAnsi="Arial" w:cs="Arial"/>
          <w:sz w:val="20"/>
          <w:szCs w:val="20"/>
          <w:shd w:val="clear" w:color="auto" w:fill="FFFFFF"/>
        </w:rPr>
      </w:pPr>
    </w:p>
    <w:p w:rsidR="00FD5DED" w:rsidRPr="00367C86" w:rsidRDefault="00FD5DED" w:rsidP="00367C86">
      <w:pPr>
        <w:ind w:left="0" w:firstLine="0"/>
        <w:rPr>
          <w:rFonts w:ascii="Arial" w:hAnsi="Arial" w:cs="Arial"/>
          <w:sz w:val="20"/>
          <w:szCs w:val="20"/>
        </w:rPr>
      </w:pPr>
      <w:r w:rsidRPr="00367C86">
        <w:rPr>
          <w:rFonts w:ascii="Arial" w:hAnsi="Arial" w:cs="Arial"/>
          <w:sz w:val="20"/>
          <w:szCs w:val="20"/>
        </w:rPr>
        <w:lastRenderedPageBreak/>
        <w:t>Ainsi, s</w:t>
      </w:r>
      <w:r w:rsidR="00066394" w:rsidRPr="00367C86">
        <w:rPr>
          <w:rFonts w:ascii="Arial" w:hAnsi="Arial" w:cs="Arial"/>
          <w:sz w:val="20"/>
          <w:szCs w:val="20"/>
        </w:rPr>
        <w:t xml:space="preserve">’il était encore possible </w:t>
      </w:r>
      <w:r w:rsidRPr="00367C86">
        <w:rPr>
          <w:rFonts w:ascii="Arial" w:hAnsi="Arial" w:cs="Arial"/>
          <w:sz w:val="20"/>
          <w:szCs w:val="20"/>
        </w:rPr>
        <w:t>il n’y a pas si longtemps de faire une mesure de radiofréquences à 0 V/M en extérieur dans une ville de plus de 50 </w:t>
      </w:r>
      <w:r w:rsidR="00E855F4" w:rsidRPr="00367C86">
        <w:rPr>
          <w:rFonts w:ascii="Arial" w:hAnsi="Arial" w:cs="Arial"/>
          <w:sz w:val="20"/>
          <w:szCs w:val="20"/>
        </w:rPr>
        <w:t>000 habitant.e.s (</w:t>
      </w:r>
      <w:r w:rsidRPr="00367C86">
        <w:rPr>
          <w:rFonts w:ascii="Arial" w:hAnsi="Arial" w:cs="Arial"/>
          <w:sz w:val="20"/>
          <w:szCs w:val="20"/>
        </w:rPr>
        <w:t xml:space="preserve">annexe 11), ce n’est plus le cas. </w:t>
      </w:r>
    </w:p>
    <w:p w:rsidR="00FD5DED" w:rsidRPr="00367C86" w:rsidRDefault="00FD5DED" w:rsidP="00367C86">
      <w:pPr>
        <w:ind w:left="0" w:firstLine="0"/>
        <w:rPr>
          <w:rFonts w:ascii="Arial" w:hAnsi="Arial" w:cs="Arial"/>
          <w:sz w:val="20"/>
          <w:szCs w:val="20"/>
        </w:rPr>
      </w:pPr>
      <w:r w:rsidRPr="00367C86">
        <w:rPr>
          <w:rFonts w:ascii="Arial" w:hAnsi="Arial" w:cs="Arial"/>
          <w:sz w:val="20"/>
          <w:szCs w:val="20"/>
        </w:rPr>
        <w:t>Et les micro-ondes de nos jours sont de 10</w:t>
      </w:r>
      <w:r w:rsidRPr="00367C86">
        <w:rPr>
          <w:rFonts w:ascii="Arial" w:hAnsi="Arial" w:cs="Arial"/>
          <w:sz w:val="20"/>
          <w:szCs w:val="20"/>
          <w:vertAlign w:val="superscript"/>
        </w:rPr>
        <w:t>11</w:t>
      </w:r>
      <w:r w:rsidRPr="00367C86">
        <w:rPr>
          <w:rFonts w:ascii="Arial" w:hAnsi="Arial" w:cs="Arial"/>
          <w:sz w:val="20"/>
          <w:szCs w:val="20"/>
        </w:rPr>
        <w:t xml:space="preserve"> à 10</w:t>
      </w:r>
      <w:r w:rsidRPr="00367C86">
        <w:rPr>
          <w:rFonts w:ascii="Arial" w:hAnsi="Arial" w:cs="Arial"/>
          <w:sz w:val="20"/>
          <w:szCs w:val="20"/>
          <w:vertAlign w:val="superscript"/>
        </w:rPr>
        <w:t>18</w:t>
      </w:r>
      <w:r w:rsidRPr="00367C86">
        <w:rPr>
          <w:rFonts w:ascii="Arial" w:hAnsi="Arial" w:cs="Arial"/>
          <w:sz w:val="20"/>
          <w:szCs w:val="20"/>
        </w:rPr>
        <w:t xml:space="preserve"> plus importantes dans notre environnement qu’avant 1940</w:t>
      </w:r>
      <w:r w:rsidRPr="00367C86">
        <w:rPr>
          <w:rStyle w:val="Appelnotedebasdep"/>
          <w:rFonts w:ascii="Arial" w:hAnsi="Arial" w:cs="Arial"/>
          <w:sz w:val="20"/>
          <w:szCs w:val="20"/>
        </w:rPr>
        <w:footnoteReference w:id="36"/>
      </w:r>
      <w:r w:rsidRPr="00367C86">
        <w:rPr>
          <w:rFonts w:ascii="Arial" w:hAnsi="Arial" w:cs="Arial"/>
          <w:sz w:val="20"/>
          <w:szCs w:val="20"/>
        </w:rPr>
        <w:t xml:space="preserve"> .</w:t>
      </w:r>
    </w:p>
    <w:p w:rsidR="00FD5DED" w:rsidRPr="00367C86" w:rsidRDefault="00FD5DED" w:rsidP="00367C86">
      <w:pPr>
        <w:rPr>
          <w:rFonts w:ascii="Arial" w:hAnsi="Arial" w:cs="Arial"/>
          <w:sz w:val="20"/>
          <w:szCs w:val="20"/>
          <w:shd w:val="clear" w:color="auto" w:fill="FFFFFF"/>
        </w:rPr>
      </w:pPr>
    </w:p>
    <w:p w:rsidR="004606CB" w:rsidRPr="00367C86" w:rsidRDefault="004606CB" w:rsidP="00367C86">
      <w:pPr>
        <w:ind w:left="0" w:firstLine="0"/>
        <w:rPr>
          <w:rFonts w:ascii="Arial" w:hAnsi="Arial" w:cs="Arial"/>
          <w:sz w:val="20"/>
          <w:szCs w:val="20"/>
        </w:rPr>
      </w:pPr>
      <w:r w:rsidRPr="00367C86">
        <w:rPr>
          <w:rFonts w:ascii="Arial" w:hAnsi="Arial" w:cs="Arial"/>
          <w:sz w:val="20"/>
          <w:szCs w:val="20"/>
        </w:rPr>
        <w:t>Par ailleurs, ainsi que l’indique également l’historique ci-dessus, les technologies évoluent or les nouvelles générations s’ajoutent aux anciennes, la substitution n’étant pas systématique ni immédiate. Quant aux offres de consommation individuelle</w:t>
      </w:r>
      <w:r w:rsidR="009E2DE8" w:rsidRPr="00367C86">
        <w:rPr>
          <w:rFonts w:ascii="Arial" w:hAnsi="Arial" w:cs="Arial"/>
          <w:sz w:val="20"/>
          <w:szCs w:val="20"/>
        </w:rPr>
        <w:t>, elles connaissent une croissance exponentielle, de nouveaux objets connectés étant régulièrement mis sur le marché.</w:t>
      </w:r>
    </w:p>
    <w:p w:rsidR="007D32C7" w:rsidRPr="00367C86" w:rsidRDefault="007D32C7" w:rsidP="00367C86">
      <w:pPr>
        <w:ind w:left="0" w:firstLine="0"/>
        <w:rPr>
          <w:rFonts w:ascii="Arial" w:hAnsi="Arial" w:cs="Arial"/>
          <w:sz w:val="20"/>
          <w:szCs w:val="20"/>
        </w:rPr>
      </w:pPr>
      <w:r w:rsidRPr="00367C86">
        <w:rPr>
          <w:rFonts w:ascii="Arial" w:hAnsi="Arial" w:cs="Arial"/>
          <w:sz w:val="20"/>
          <w:szCs w:val="20"/>
        </w:rPr>
        <w:t>En outre s’opère</w:t>
      </w:r>
      <w:r w:rsidR="00E855F4" w:rsidRPr="00367C86">
        <w:rPr>
          <w:rFonts w:ascii="Arial" w:hAnsi="Arial" w:cs="Arial"/>
          <w:sz w:val="20"/>
          <w:szCs w:val="20"/>
        </w:rPr>
        <w:t>,</w:t>
      </w:r>
      <w:r w:rsidRPr="00367C86">
        <w:rPr>
          <w:rFonts w:ascii="Arial" w:hAnsi="Arial" w:cs="Arial"/>
          <w:sz w:val="20"/>
          <w:szCs w:val="20"/>
        </w:rPr>
        <w:t xml:space="preserve"> au gré des nouvelles générations</w:t>
      </w:r>
      <w:r w:rsidR="00E855F4" w:rsidRPr="00367C86">
        <w:rPr>
          <w:rFonts w:ascii="Arial" w:hAnsi="Arial" w:cs="Arial"/>
          <w:sz w:val="20"/>
          <w:szCs w:val="20"/>
        </w:rPr>
        <w:t>, un changement de nature. A</w:t>
      </w:r>
      <w:r w:rsidRPr="00367C86">
        <w:rPr>
          <w:rFonts w:ascii="Arial" w:hAnsi="Arial" w:cs="Arial"/>
          <w:sz w:val="20"/>
          <w:szCs w:val="20"/>
        </w:rPr>
        <w:t>insi, de 1986 à 1991 en France, la première génération (1G) de téléphonie mobile était analogique : elle utilisait des ondes continues pour la transmission de la voix. Lors d'une communication sur le réseau Radiocom 2000, le signal émis était constant, sans les découpages en intervalles caractéristiques des transmissions numériques par impulsions.</w:t>
      </w:r>
    </w:p>
    <w:p w:rsidR="007D32C7" w:rsidRPr="00367C86" w:rsidRDefault="007D32C7" w:rsidP="00367C86">
      <w:pPr>
        <w:ind w:left="0" w:firstLine="0"/>
        <w:rPr>
          <w:rFonts w:ascii="Arial" w:hAnsi="Arial" w:cs="Arial"/>
          <w:sz w:val="20"/>
          <w:szCs w:val="20"/>
        </w:rPr>
      </w:pPr>
    </w:p>
    <w:p w:rsidR="00FD5DED" w:rsidRPr="00367C86" w:rsidRDefault="007D32C7" w:rsidP="00367C86">
      <w:pPr>
        <w:ind w:left="0" w:firstLine="0"/>
        <w:rPr>
          <w:rFonts w:ascii="Arial" w:hAnsi="Arial" w:cs="Arial"/>
          <w:sz w:val="20"/>
          <w:szCs w:val="20"/>
        </w:rPr>
      </w:pPr>
      <w:r w:rsidRPr="00367C86">
        <w:rPr>
          <w:rFonts w:ascii="Arial" w:hAnsi="Arial" w:cs="Arial"/>
          <w:sz w:val="20"/>
          <w:szCs w:val="20"/>
        </w:rPr>
        <w:t xml:space="preserve">Ces vagues successives de nouvelles générations et d’évolutions font ainsi des technologies sans fil </w:t>
      </w:r>
      <w:r w:rsidR="001664AE" w:rsidRPr="00367C86">
        <w:rPr>
          <w:rFonts w:ascii="Arial" w:hAnsi="Arial" w:cs="Arial"/>
          <w:sz w:val="20"/>
          <w:szCs w:val="20"/>
        </w:rPr>
        <w:t>un phénomène évo</w:t>
      </w:r>
      <w:r w:rsidR="00F11F82" w:rsidRPr="00367C86">
        <w:rPr>
          <w:rFonts w:ascii="Arial" w:hAnsi="Arial" w:cs="Arial"/>
          <w:sz w:val="20"/>
          <w:szCs w:val="20"/>
        </w:rPr>
        <w:t>l</w:t>
      </w:r>
      <w:r w:rsidR="001664AE" w:rsidRPr="00367C86">
        <w:rPr>
          <w:rFonts w:ascii="Arial" w:hAnsi="Arial" w:cs="Arial"/>
          <w:sz w:val="20"/>
          <w:szCs w:val="20"/>
        </w:rPr>
        <w:t xml:space="preserve">utif </w:t>
      </w:r>
      <w:r w:rsidR="00FD5DED" w:rsidRPr="00367C86">
        <w:rPr>
          <w:rFonts w:ascii="Arial" w:hAnsi="Arial" w:cs="Arial"/>
          <w:sz w:val="20"/>
          <w:szCs w:val="20"/>
        </w:rPr>
        <w:t xml:space="preserve">dont </w:t>
      </w:r>
      <w:r w:rsidR="001664AE" w:rsidRPr="00367C86">
        <w:rPr>
          <w:rFonts w:ascii="Arial" w:hAnsi="Arial" w:cs="Arial"/>
          <w:sz w:val="20"/>
          <w:szCs w:val="20"/>
        </w:rPr>
        <w:t xml:space="preserve">l’on peut de surcroit </w:t>
      </w:r>
      <w:r w:rsidR="004606CB" w:rsidRPr="00367C86">
        <w:rPr>
          <w:rFonts w:ascii="Arial" w:hAnsi="Arial" w:cs="Arial"/>
          <w:sz w:val="20"/>
          <w:szCs w:val="20"/>
        </w:rPr>
        <w:t>remarquer l’accélération, phénomène qui est désormais omniprésent et expose toutes les tranches d’âge.</w:t>
      </w:r>
    </w:p>
    <w:p w:rsidR="001664AE" w:rsidRPr="00367C86" w:rsidRDefault="001664AE" w:rsidP="00367C86">
      <w:pPr>
        <w:rPr>
          <w:rFonts w:ascii="Arial" w:hAnsi="Arial" w:cs="Arial"/>
          <w:caps/>
          <w:sz w:val="20"/>
          <w:szCs w:val="20"/>
        </w:rPr>
      </w:pPr>
    </w:p>
    <w:p w:rsidR="004606CB" w:rsidRPr="00367C86" w:rsidRDefault="004606CB" w:rsidP="00367C86">
      <w:pPr>
        <w:rPr>
          <w:rFonts w:ascii="Arial" w:hAnsi="Arial" w:cs="Arial"/>
          <w:caps/>
          <w:sz w:val="20"/>
          <w:szCs w:val="20"/>
        </w:rPr>
      </w:pPr>
    </w:p>
    <w:p w:rsidR="00E90C45" w:rsidRPr="00367C86" w:rsidRDefault="009E2DE8" w:rsidP="009F3BB0">
      <w:pPr>
        <w:pStyle w:val="Paragraphedeliste"/>
        <w:numPr>
          <w:ilvl w:val="0"/>
          <w:numId w:val="5"/>
        </w:numPr>
        <w:rPr>
          <w:rFonts w:ascii="Arial" w:hAnsi="Arial" w:cs="Arial"/>
          <w:sz w:val="20"/>
          <w:szCs w:val="20"/>
          <w:u w:val="single"/>
        </w:rPr>
      </w:pPr>
      <w:r w:rsidRPr="00367C86">
        <w:rPr>
          <w:rFonts w:ascii="Arial" w:hAnsi="Arial" w:cs="Arial"/>
          <w:sz w:val="20"/>
          <w:szCs w:val="20"/>
          <w:u w:val="single"/>
        </w:rPr>
        <w:t>Technologies sans fil : u</w:t>
      </w:r>
      <w:r w:rsidR="001664AE" w:rsidRPr="00367C86">
        <w:rPr>
          <w:rFonts w:ascii="Arial" w:hAnsi="Arial" w:cs="Arial"/>
          <w:sz w:val="20"/>
          <w:szCs w:val="20"/>
          <w:u w:val="single"/>
        </w:rPr>
        <w:t>n phénomène invasif</w:t>
      </w:r>
      <w:r w:rsidRPr="00367C86">
        <w:rPr>
          <w:rFonts w:ascii="Arial" w:hAnsi="Arial" w:cs="Arial"/>
          <w:sz w:val="20"/>
          <w:szCs w:val="20"/>
          <w:u w:val="single"/>
        </w:rPr>
        <w:t> </w:t>
      </w:r>
    </w:p>
    <w:p w:rsidR="001F745D" w:rsidRPr="00367C86" w:rsidRDefault="001F745D" w:rsidP="00367C86">
      <w:pPr>
        <w:rPr>
          <w:rFonts w:ascii="Arial" w:hAnsi="Arial" w:cs="Arial"/>
          <w:sz w:val="20"/>
          <w:szCs w:val="20"/>
        </w:rPr>
      </w:pPr>
    </w:p>
    <w:p w:rsidR="001F745D" w:rsidRPr="00367C86" w:rsidRDefault="00B02BA6" w:rsidP="00367C86">
      <w:pPr>
        <w:ind w:left="0" w:firstLine="0"/>
        <w:rPr>
          <w:rFonts w:ascii="Arial" w:hAnsi="Arial" w:cs="Arial"/>
          <w:sz w:val="20"/>
          <w:szCs w:val="20"/>
        </w:rPr>
      </w:pPr>
      <w:r w:rsidRPr="00367C86">
        <w:rPr>
          <w:rFonts w:ascii="Arial" w:hAnsi="Arial" w:cs="Arial"/>
          <w:sz w:val="20"/>
          <w:szCs w:val="20"/>
        </w:rPr>
        <w:t xml:space="preserve">Cette </w:t>
      </w:r>
      <w:r w:rsidR="001F745D" w:rsidRPr="00367C86">
        <w:rPr>
          <w:rFonts w:ascii="Arial" w:hAnsi="Arial" w:cs="Arial"/>
          <w:sz w:val="20"/>
          <w:szCs w:val="20"/>
        </w:rPr>
        <w:t>car</w:t>
      </w:r>
      <w:r w:rsidRPr="00367C86">
        <w:rPr>
          <w:rFonts w:ascii="Arial" w:hAnsi="Arial" w:cs="Arial"/>
          <w:sz w:val="20"/>
          <w:szCs w:val="20"/>
        </w:rPr>
        <w:t>actéristique découle logiquement des deux précédentes d’un point de vue quantitatif. Mais elle est également liée, d’un point de vue qualitatif, à la physique des radiofréquences.</w:t>
      </w:r>
    </w:p>
    <w:p w:rsidR="001F745D" w:rsidRPr="00367C86" w:rsidRDefault="001F745D" w:rsidP="00367C86">
      <w:pPr>
        <w:ind w:left="0" w:firstLine="0"/>
        <w:rPr>
          <w:rFonts w:ascii="Arial" w:hAnsi="Arial" w:cs="Arial"/>
          <w:sz w:val="20"/>
          <w:szCs w:val="20"/>
        </w:rPr>
      </w:pPr>
    </w:p>
    <w:p w:rsidR="001F745D" w:rsidRPr="00367C86" w:rsidRDefault="001F745D" w:rsidP="009F3BB0">
      <w:pPr>
        <w:pStyle w:val="Paragraphedeliste"/>
        <w:numPr>
          <w:ilvl w:val="0"/>
          <w:numId w:val="11"/>
        </w:numPr>
        <w:rPr>
          <w:rFonts w:ascii="Arial" w:hAnsi="Arial" w:cs="Arial"/>
          <w:sz w:val="20"/>
          <w:szCs w:val="20"/>
        </w:rPr>
      </w:pPr>
      <w:r w:rsidRPr="00367C86">
        <w:rPr>
          <w:rFonts w:ascii="Arial" w:hAnsi="Arial" w:cs="Arial"/>
          <w:sz w:val="20"/>
          <w:szCs w:val="20"/>
        </w:rPr>
        <w:t>Caractéristique quantitative :</w:t>
      </w:r>
    </w:p>
    <w:p w:rsidR="001664AE" w:rsidRPr="00367C86" w:rsidRDefault="001664AE" w:rsidP="00367C86">
      <w:pPr>
        <w:rPr>
          <w:rFonts w:ascii="Arial" w:hAnsi="Arial" w:cs="Arial"/>
          <w:sz w:val="20"/>
          <w:szCs w:val="20"/>
        </w:rPr>
      </w:pPr>
    </w:p>
    <w:p w:rsidR="004606CB" w:rsidRPr="00367C86" w:rsidRDefault="002F3904" w:rsidP="00367C86">
      <w:pPr>
        <w:ind w:left="0" w:firstLine="0"/>
        <w:rPr>
          <w:rFonts w:ascii="Arial" w:hAnsi="Arial" w:cs="Arial"/>
          <w:sz w:val="20"/>
          <w:szCs w:val="20"/>
        </w:rPr>
      </w:pPr>
      <w:r w:rsidRPr="00367C86">
        <w:rPr>
          <w:rFonts w:ascii="Arial" w:hAnsi="Arial" w:cs="Arial"/>
          <w:sz w:val="20"/>
          <w:szCs w:val="20"/>
        </w:rPr>
        <w:t xml:space="preserve">Ainsi que nous </w:t>
      </w:r>
      <w:r w:rsidR="004606CB" w:rsidRPr="00367C86">
        <w:rPr>
          <w:rFonts w:ascii="Arial" w:hAnsi="Arial" w:cs="Arial"/>
          <w:sz w:val="20"/>
          <w:szCs w:val="20"/>
        </w:rPr>
        <w:t>l’</w:t>
      </w:r>
      <w:r w:rsidRPr="00367C86">
        <w:rPr>
          <w:rFonts w:ascii="Arial" w:hAnsi="Arial" w:cs="Arial"/>
          <w:sz w:val="20"/>
          <w:szCs w:val="20"/>
        </w:rPr>
        <w:t>avons illustré</w:t>
      </w:r>
      <w:r w:rsidR="001664AE" w:rsidRPr="00367C86">
        <w:rPr>
          <w:rFonts w:ascii="Arial" w:hAnsi="Arial" w:cs="Arial"/>
          <w:sz w:val="20"/>
          <w:szCs w:val="20"/>
        </w:rPr>
        <w:t xml:space="preserve"> à travers le schéma d’exposition </w:t>
      </w:r>
      <w:r w:rsidR="00E855F4" w:rsidRPr="00367C86">
        <w:rPr>
          <w:rFonts w:ascii="Arial" w:hAnsi="Arial" w:cs="Arial"/>
          <w:sz w:val="20"/>
          <w:szCs w:val="20"/>
        </w:rPr>
        <w:t>évoqué</w:t>
      </w:r>
      <w:r w:rsidR="009A66D9" w:rsidRPr="00367C86">
        <w:rPr>
          <w:rFonts w:ascii="Arial" w:hAnsi="Arial" w:cs="Arial"/>
          <w:sz w:val="20"/>
          <w:szCs w:val="20"/>
        </w:rPr>
        <w:t xml:space="preserve"> plus haut</w:t>
      </w:r>
      <w:r w:rsidR="00E855F4" w:rsidRPr="00367C86">
        <w:rPr>
          <w:rFonts w:ascii="Arial" w:hAnsi="Arial" w:cs="Arial"/>
          <w:sz w:val="20"/>
          <w:szCs w:val="20"/>
        </w:rPr>
        <w:t xml:space="preserve"> (pour rappel : annexe 4)</w:t>
      </w:r>
      <w:r w:rsidR="009A66D9" w:rsidRPr="00367C86">
        <w:rPr>
          <w:rFonts w:ascii="Arial" w:hAnsi="Arial" w:cs="Arial"/>
          <w:sz w:val="20"/>
          <w:szCs w:val="20"/>
        </w:rPr>
        <w:t xml:space="preserve">, </w:t>
      </w:r>
      <w:r w:rsidR="001664AE" w:rsidRPr="00367C86">
        <w:rPr>
          <w:rFonts w:ascii="Arial" w:hAnsi="Arial" w:cs="Arial"/>
          <w:sz w:val="20"/>
          <w:szCs w:val="20"/>
        </w:rPr>
        <w:t>les technologies sans fil</w:t>
      </w:r>
      <w:r w:rsidRPr="00367C86">
        <w:rPr>
          <w:rFonts w:ascii="Arial" w:hAnsi="Arial" w:cs="Arial"/>
          <w:sz w:val="20"/>
          <w:szCs w:val="20"/>
        </w:rPr>
        <w:t xml:space="preserve"> sont désormais bien a</w:t>
      </w:r>
      <w:r w:rsidR="004606CB" w:rsidRPr="00367C86">
        <w:rPr>
          <w:rFonts w:ascii="Arial" w:hAnsi="Arial" w:cs="Arial"/>
          <w:sz w:val="20"/>
          <w:szCs w:val="20"/>
        </w:rPr>
        <w:t>ncrées au cœur et autour de nos vies.</w:t>
      </w:r>
    </w:p>
    <w:p w:rsidR="002F3904" w:rsidRPr="00367C86" w:rsidRDefault="002F3904" w:rsidP="00367C86">
      <w:pPr>
        <w:ind w:left="0" w:firstLine="0"/>
        <w:rPr>
          <w:rFonts w:ascii="Arial" w:hAnsi="Arial" w:cs="Arial"/>
          <w:sz w:val="20"/>
          <w:szCs w:val="20"/>
        </w:rPr>
      </w:pPr>
      <w:r w:rsidRPr="00367C86">
        <w:rPr>
          <w:rFonts w:ascii="Arial" w:hAnsi="Arial" w:cs="Arial"/>
          <w:sz w:val="20"/>
          <w:szCs w:val="20"/>
        </w:rPr>
        <w:t xml:space="preserve"> </w:t>
      </w:r>
    </w:p>
    <w:p w:rsidR="001664AE" w:rsidRPr="00367C86" w:rsidRDefault="002F3904" w:rsidP="00367C86">
      <w:pPr>
        <w:rPr>
          <w:rFonts w:ascii="Arial" w:hAnsi="Arial" w:cs="Arial"/>
          <w:sz w:val="20"/>
          <w:szCs w:val="20"/>
        </w:rPr>
      </w:pPr>
      <w:r w:rsidRPr="00367C86">
        <w:rPr>
          <w:rFonts w:ascii="Arial" w:hAnsi="Arial" w:cs="Arial"/>
          <w:sz w:val="20"/>
          <w:szCs w:val="20"/>
        </w:rPr>
        <w:t>Quelques chiffres récents :</w:t>
      </w:r>
      <w:r w:rsidR="001664AE" w:rsidRPr="00367C86">
        <w:rPr>
          <w:rFonts w:ascii="Arial" w:hAnsi="Arial" w:cs="Arial"/>
          <w:sz w:val="20"/>
          <w:szCs w:val="20"/>
        </w:rPr>
        <w:t xml:space="preserve"> </w:t>
      </w:r>
    </w:p>
    <w:p w:rsidR="003C13F1" w:rsidRPr="00367C86" w:rsidRDefault="003C13F1" w:rsidP="00367C86">
      <w:pPr>
        <w:rPr>
          <w:rFonts w:ascii="Arial" w:hAnsi="Arial" w:cs="Arial"/>
          <w:sz w:val="20"/>
          <w:szCs w:val="20"/>
        </w:rPr>
      </w:pPr>
    </w:p>
    <w:p w:rsidR="003C13F1" w:rsidRPr="00367C86" w:rsidRDefault="003C13F1" w:rsidP="009F3BB0">
      <w:pPr>
        <w:pStyle w:val="Paragraphedeliste"/>
        <w:numPr>
          <w:ilvl w:val="0"/>
          <w:numId w:val="12"/>
        </w:numPr>
        <w:rPr>
          <w:rFonts w:ascii="Arial" w:hAnsi="Arial" w:cs="Arial"/>
          <w:sz w:val="20"/>
          <w:szCs w:val="20"/>
        </w:rPr>
      </w:pPr>
      <w:r w:rsidRPr="00367C86">
        <w:rPr>
          <w:rFonts w:ascii="Arial" w:hAnsi="Arial" w:cs="Arial"/>
          <w:sz w:val="20"/>
          <w:szCs w:val="20"/>
        </w:rPr>
        <w:t>E</w:t>
      </w:r>
      <w:r w:rsidR="00E116C9" w:rsidRPr="00367C86">
        <w:rPr>
          <w:rFonts w:ascii="Arial" w:hAnsi="Arial" w:cs="Arial"/>
          <w:sz w:val="20"/>
          <w:szCs w:val="20"/>
        </w:rPr>
        <w:t>volution de l’e</w:t>
      </w:r>
      <w:r w:rsidRPr="00367C86">
        <w:rPr>
          <w:rFonts w:ascii="Arial" w:hAnsi="Arial" w:cs="Arial"/>
          <w:sz w:val="20"/>
          <w:szCs w:val="20"/>
        </w:rPr>
        <w:t xml:space="preserve">xposition </w:t>
      </w:r>
      <w:r w:rsidR="00C4586B" w:rsidRPr="00367C86">
        <w:rPr>
          <w:rFonts w:ascii="Arial" w:hAnsi="Arial" w:cs="Arial"/>
          <w:sz w:val="20"/>
          <w:szCs w:val="20"/>
        </w:rPr>
        <w:t>liée</w:t>
      </w:r>
      <w:r w:rsidR="009A66D9" w:rsidRPr="00367C86">
        <w:rPr>
          <w:rFonts w:ascii="Arial" w:hAnsi="Arial" w:cs="Arial"/>
          <w:sz w:val="20"/>
          <w:szCs w:val="20"/>
        </w:rPr>
        <w:t xml:space="preserve"> aux consomm</w:t>
      </w:r>
      <w:r w:rsidR="00C4586B" w:rsidRPr="00367C86">
        <w:rPr>
          <w:rFonts w:ascii="Arial" w:hAnsi="Arial" w:cs="Arial"/>
          <w:sz w:val="20"/>
          <w:szCs w:val="20"/>
        </w:rPr>
        <w:t>ations individuelles</w:t>
      </w:r>
      <w:r w:rsidRPr="00367C86">
        <w:rPr>
          <w:rFonts w:ascii="Arial" w:hAnsi="Arial" w:cs="Arial"/>
          <w:sz w:val="20"/>
          <w:szCs w:val="20"/>
        </w:rPr>
        <w:t xml:space="preserve"> : </w:t>
      </w:r>
    </w:p>
    <w:p w:rsidR="003C13F1" w:rsidRPr="00367C86" w:rsidRDefault="003C13F1" w:rsidP="00367C86">
      <w:pPr>
        <w:pStyle w:val="Paragraphedeliste"/>
        <w:ind w:left="1428" w:firstLine="0"/>
        <w:rPr>
          <w:rFonts w:ascii="Arial" w:hAnsi="Arial" w:cs="Arial"/>
          <w:sz w:val="20"/>
          <w:szCs w:val="20"/>
        </w:rPr>
      </w:pPr>
    </w:p>
    <w:p w:rsidR="003C13F1" w:rsidRPr="00367C86" w:rsidRDefault="003C13F1" w:rsidP="00367C86">
      <w:pPr>
        <w:rPr>
          <w:rFonts w:ascii="Arial" w:hAnsi="Arial" w:cs="Arial"/>
          <w:sz w:val="20"/>
          <w:szCs w:val="20"/>
        </w:rPr>
      </w:pPr>
      <w:r w:rsidRPr="00367C86">
        <w:rPr>
          <w:rFonts w:ascii="Arial" w:hAnsi="Arial" w:cs="Arial"/>
          <w:sz w:val="20"/>
          <w:szCs w:val="20"/>
        </w:rPr>
        <w:t>Selon le Baromètre du numérique 2024</w:t>
      </w:r>
      <w:r w:rsidRPr="00367C86">
        <w:rPr>
          <w:rStyle w:val="Appelnotedebasdep"/>
          <w:rFonts w:ascii="Arial" w:hAnsi="Arial" w:cs="Arial"/>
          <w:sz w:val="20"/>
          <w:szCs w:val="20"/>
        </w:rPr>
        <w:footnoteReference w:id="37"/>
      </w:r>
      <w:r w:rsidRPr="00367C86">
        <w:rPr>
          <w:rFonts w:ascii="Arial" w:hAnsi="Arial" w:cs="Arial"/>
          <w:sz w:val="20"/>
          <w:szCs w:val="20"/>
        </w:rPr>
        <w:t xml:space="preserve"> publié par l’Arcep</w:t>
      </w:r>
      <w:r w:rsidRPr="00367C86">
        <w:rPr>
          <w:rStyle w:val="Appelnotedebasdep"/>
          <w:rFonts w:ascii="Arial" w:hAnsi="Arial" w:cs="Arial"/>
          <w:sz w:val="20"/>
          <w:szCs w:val="20"/>
        </w:rPr>
        <w:footnoteReference w:id="38"/>
      </w:r>
      <w:r w:rsidRPr="00367C86">
        <w:rPr>
          <w:rFonts w:ascii="Arial" w:hAnsi="Arial" w:cs="Arial"/>
          <w:sz w:val="20"/>
          <w:szCs w:val="20"/>
        </w:rPr>
        <w:t xml:space="preserve"> en mai 2024 :</w:t>
      </w:r>
    </w:p>
    <w:p w:rsidR="003C13F1" w:rsidRPr="00367C86" w:rsidRDefault="003C13F1" w:rsidP="009F3BB0">
      <w:pPr>
        <w:pStyle w:val="Paragraphedeliste"/>
        <w:numPr>
          <w:ilvl w:val="0"/>
          <w:numId w:val="13"/>
        </w:numPr>
        <w:rPr>
          <w:rFonts w:ascii="Arial" w:hAnsi="Arial" w:cs="Arial"/>
          <w:sz w:val="20"/>
          <w:szCs w:val="20"/>
        </w:rPr>
      </w:pPr>
      <w:r w:rsidRPr="00367C86">
        <w:rPr>
          <w:rFonts w:ascii="Arial" w:hAnsi="Arial" w:cs="Arial"/>
          <w:sz w:val="20"/>
          <w:szCs w:val="20"/>
        </w:rPr>
        <w:t>98% des 12 ans et plus sont équipés d’un téléphone mobile (+4 points en un an)</w:t>
      </w:r>
    </w:p>
    <w:p w:rsidR="003C13F1" w:rsidRPr="00367C86" w:rsidRDefault="003C13F1" w:rsidP="009F3BB0">
      <w:pPr>
        <w:pStyle w:val="Paragraphedeliste"/>
        <w:numPr>
          <w:ilvl w:val="0"/>
          <w:numId w:val="13"/>
        </w:numPr>
        <w:rPr>
          <w:rFonts w:ascii="Arial" w:hAnsi="Arial" w:cs="Arial"/>
          <w:sz w:val="20"/>
          <w:szCs w:val="20"/>
        </w:rPr>
      </w:pPr>
      <w:r w:rsidRPr="00367C86">
        <w:rPr>
          <w:rFonts w:ascii="Arial" w:hAnsi="Arial" w:cs="Arial"/>
          <w:sz w:val="20"/>
          <w:szCs w:val="20"/>
        </w:rPr>
        <w:t>91% des 12 ans et plus sont équipés d’un smartphone</w:t>
      </w:r>
    </w:p>
    <w:p w:rsidR="003C13F1" w:rsidRPr="00367C86" w:rsidRDefault="00017026" w:rsidP="009F3BB0">
      <w:pPr>
        <w:pStyle w:val="Paragraphedeliste"/>
        <w:numPr>
          <w:ilvl w:val="0"/>
          <w:numId w:val="13"/>
        </w:numPr>
        <w:rPr>
          <w:rFonts w:ascii="Arial" w:hAnsi="Arial" w:cs="Arial"/>
          <w:sz w:val="20"/>
          <w:szCs w:val="20"/>
        </w:rPr>
      </w:pPr>
      <w:r w:rsidRPr="00367C86">
        <w:rPr>
          <w:rFonts w:ascii="Arial" w:hAnsi="Arial" w:cs="Arial"/>
          <w:sz w:val="20"/>
          <w:szCs w:val="20"/>
        </w:rPr>
        <w:t>L</w:t>
      </w:r>
      <w:r w:rsidR="003C13F1" w:rsidRPr="00367C86">
        <w:rPr>
          <w:rFonts w:ascii="Arial" w:hAnsi="Arial" w:cs="Arial"/>
          <w:sz w:val="20"/>
          <w:szCs w:val="20"/>
        </w:rPr>
        <w:t>’équipement en enceinte connectée progresse également à 33% (+ 4 points en un an)</w:t>
      </w:r>
    </w:p>
    <w:p w:rsidR="003C13F1" w:rsidRPr="00367C86" w:rsidRDefault="003C13F1" w:rsidP="009F3BB0">
      <w:pPr>
        <w:pStyle w:val="Paragraphedeliste"/>
        <w:numPr>
          <w:ilvl w:val="0"/>
          <w:numId w:val="13"/>
        </w:numPr>
        <w:rPr>
          <w:rFonts w:ascii="Arial" w:hAnsi="Arial" w:cs="Arial"/>
          <w:sz w:val="20"/>
          <w:szCs w:val="20"/>
        </w:rPr>
      </w:pPr>
      <w:r w:rsidRPr="00367C86">
        <w:rPr>
          <w:rFonts w:ascii="Arial" w:hAnsi="Arial" w:cs="Arial"/>
          <w:sz w:val="20"/>
          <w:szCs w:val="20"/>
        </w:rPr>
        <w:t>44 % des Français ont un smartphone 5G en 2024 (+13 points en un an)</w:t>
      </w:r>
    </w:p>
    <w:p w:rsidR="003C13F1" w:rsidRPr="00367C86" w:rsidRDefault="003C13F1" w:rsidP="009F3BB0">
      <w:pPr>
        <w:pStyle w:val="Paragraphedeliste"/>
        <w:numPr>
          <w:ilvl w:val="0"/>
          <w:numId w:val="13"/>
        </w:numPr>
        <w:rPr>
          <w:rFonts w:ascii="Arial" w:hAnsi="Arial" w:cs="Arial"/>
          <w:sz w:val="20"/>
          <w:szCs w:val="20"/>
        </w:rPr>
      </w:pPr>
      <w:r w:rsidRPr="00367C86">
        <w:rPr>
          <w:rFonts w:ascii="Arial" w:hAnsi="Arial" w:cs="Arial"/>
          <w:sz w:val="20"/>
          <w:szCs w:val="20"/>
        </w:rPr>
        <w:t>Parmi les répondants, 19 % des 18-24 ans et 14 % des 25-39 ans indiquent p</w:t>
      </w:r>
      <w:r w:rsidR="00E116C9" w:rsidRPr="00367C86">
        <w:rPr>
          <w:rFonts w:ascii="Arial" w:hAnsi="Arial" w:cs="Arial"/>
          <w:sz w:val="20"/>
          <w:szCs w:val="20"/>
        </w:rPr>
        <w:t xml:space="preserve">asser plus de 5 heures par jour </w:t>
      </w:r>
      <w:r w:rsidRPr="00367C86">
        <w:rPr>
          <w:rFonts w:ascii="Arial" w:hAnsi="Arial" w:cs="Arial"/>
          <w:sz w:val="20"/>
          <w:szCs w:val="20"/>
        </w:rPr>
        <w:t>sur leur smartphone,</w:t>
      </w:r>
    </w:p>
    <w:p w:rsidR="003C13F1" w:rsidRPr="00367C86" w:rsidRDefault="003C13F1" w:rsidP="009F3BB0">
      <w:pPr>
        <w:pStyle w:val="Paragraphedeliste"/>
        <w:numPr>
          <w:ilvl w:val="0"/>
          <w:numId w:val="13"/>
        </w:numPr>
        <w:rPr>
          <w:rFonts w:ascii="Arial" w:hAnsi="Arial" w:cs="Arial"/>
          <w:sz w:val="20"/>
          <w:szCs w:val="20"/>
        </w:rPr>
      </w:pPr>
      <w:r w:rsidRPr="00367C86">
        <w:rPr>
          <w:rFonts w:ascii="Arial" w:hAnsi="Arial" w:cs="Arial"/>
          <w:sz w:val="20"/>
          <w:szCs w:val="20"/>
        </w:rPr>
        <w:t>42% des 12-17 ans y passent entre 2 et 5 heures par jour.</w:t>
      </w:r>
    </w:p>
    <w:p w:rsidR="003C13F1" w:rsidRPr="00367C86" w:rsidRDefault="003C13F1" w:rsidP="00367C86">
      <w:pPr>
        <w:rPr>
          <w:rFonts w:ascii="Arial" w:hAnsi="Arial" w:cs="Arial"/>
          <w:sz w:val="20"/>
          <w:szCs w:val="20"/>
        </w:rPr>
      </w:pPr>
    </w:p>
    <w:p w:rsidR="003C13F1" w:rsidRPr="00367C86" w:rsidRDefault="009A66D9" w:rsidP="00367C86">
      <w:pPr>
        <w:ind w:left="0" w:firstLine="0"/>
        <w:rPr>
          <w:rFonts w:ascii="Arial" w:hAnsi="Arial" w:cs="Arial"/>
          <w:sz w:val="20"/>
          <w:szCs w:val="20"/>
        </w:rPr>
      </w:pPr>
      <w:r w:rsidRPr="00367C86">
        <w:rPr>
          <w:rFonts w:ascii="Arial" w:hAnsi="Arial" w:cs="Arial"/>
          <w:sz w:val="20"/>
          <w:szCs w:val="20"/>
        </w:rPr>
        <w:t>Ces chiffres peuvent être complétés par</w:t>
      </w:r>
      <w:r w:rsidR="00017026" w:rsidRPr="00367C86">
        <w:rPr>
          <w:rFonts w:ascii="Arial" w:hAnsi="Arial" w:cs="Arial"/>
          <w:sz w:val="20"/>
          <w:szCs w:val="20"/>
        </w:rPr>
        <w:t xml:space="preserve"> l’enquête Parents, Enfants &amp; Numérique 2024</w:t>
      </w:r>
      <w:r w:rsidR="00017026" w:rsidRPr="00367C86">
        <w:rPr>
          <w:rStyle w:val="Appelnotedebasdep"/>
          <w:rFonts w:ascii="Arial" w:hAnsi="Arial" w:cs="Arial"/>
          <w:sz w:val="20"/>
          <w:szCs w:val="20"/>
        </w:rPr>
        <w:footnoteReference w:id="39"/>
      </w:r>
      <w:r w:rsidR="00017026" w:rsidRPr="00367C86">
        <w:rPr>
          <w:rFonts w:ascii="Arial" w:hAnsi="Arial" w:cs="Arial"/>
          <w:sz w:val="20"/>
          <w:szCs w:val="20"/>
        </w:rPr>
        <w:t xml:space="preserve"> menée par Ispos pour l’Observatoire de la Parentalité et de l’E</w:t>
      </w:r>
      <w:r w:rsidRPr="00367C86">
        <w:rPr>
          <w:rFonts w:ascii="Arial" w:hAnsi="Arial" w:cs="Arial"/>
          <w:sz w:val="20"/>
          <w:szCs w:val="20"/>
        </w:rPr>
        <w:t>ducation Numérique</w:t>
      </w:r>
      <w:r w:rsidR="00017026" w:rsidRPr="00367C86">
        <w:rPr>
          <w:rFonts w:ascii="Arial" w:hAnsi="Arial" w:cs="Arial"/>
          <w:sz w:val="20"/>
          <w:szCs w:val="20"/>
        </w:rPr>
        <w:t> :</w:t>
      </w:r>
    </w:p>
    <w:p w:rsidR="00017026" w:rsidRPr="00367C86" w:rsidRDefault="00017026" w:rsidP="009F3BB0">
      <w:pPr>
        <w:pStyle w:val="Paragraphedeliste"/>
        <w:numPr>
          <w:ilvl w:val="0"/>
          <w:numId w:val="10"/>
        </w:numPr>
        <w:ind w:left="709" w:hanging="283"/>
        <w:rPr>
          <w:rFonts w:ascii="Arial" w:hAnsi="Arial" w:cs="Arial"/>
          <w:sz w:val="20"/>
          <w:szCs w:val="20"/>
        </w:rPr>
      </w:pPr>
      <w:r w:rsidRPr="00367C86">
        <w:rPr>
          <w:rFonts w:ascii="Arial" w:hAnsi="Arial" w:cs="Arial"/>
          <w:sz w:val="20"/>
          <w:szCs w:val="20"/>
        </w:rPr>
        <w:t>L’âge moyen pour le premier smartphone est de 11 ans et 4 mois,</w:t>
      </w:r>
    </w:p>
    <w:p w:rsidR="00C4586B" w:rsidRPr="00367C86" w:rsidRDefault="00C4586B" w:rsidP="009F3BB0">
      <w:pPr>
        <w:pStyle w:val="Paragraphedeliste"/>
        <w:numPr>
          <w:ilvl w:val="0"/>
          <w:numId w:val="10"/>
        </w:numPr>
        <w:ind w:left="709" w:hanging="283"/>
        <w:rPr>
          <w:rFonts w:ascii="Arial" w:hAnsi="Arial" w:cs="Arial"/>
          <w:sz w:val="20"/>
          <w:szCs w:val="20"/>
        </w:rPr>
      </w:pPr>
      <w:r w:rsidRPr="00367C86">
        <w:rPr>
          <w:rFonts w:ascii="Arial" w:hAnsi="Arial" w:cs="Arial"/>
          <w:sz w:val="20"/>
          <w:szCs w:val="20"/>
        </w:rPr>
        <w:t>Plus de 6 enfants sur 10 possèdent un smartphone dès 11 ans,</w:t>
      </w:r>
    </w:p>
    <w:p w:rsidR="00C4586B" w:rsidRPr="00367C86" w:rsidRDefault="00C4586B" w:rsidP="009F3BB0">
      <w:pPr>
        <w:pStyle w:val="Paragraphedeliste"/>
        <w:numPr>
          <w:ilvl w:val="0"/>
          <w:numId w:val="10"/>
        </w:numPr>
        <w:ind w:left="709" w:hanging="283"/>
        <w:rPr>
          <w:rFonts w:ascii="Arial" w:hAnsi="Arial" w:cs="Arial"/>
          <w:sz w:val="20"/>
          <w:szCs w:val="20"/>
        </w:rPr>
      </w:pPr>
      <w:r w:rsidRPr="00367C86">
        <w:rPr>
          <w:rFonts w:ascii="Arial" w:hAnsi="Arial" w:cs="Arial"/>
          <w:sz w:val="20"/>
          <w:szCs w:val="20"/>
        </w:rPr>
        <w:t>Les 15-17 ans déclarent passer près de 3 heures/jour sur leur smartphone pour l’école,</w:t>
      </w:r>
    </w:p>
    <w:p w:rsidR="00C4586B" w:rsidRPr="00367C86" w:rsidRDefault="00C4586B" w:rsidP="009F3BB0">
      <w:pPr>
        <w:pStyle w:val="Paragraphedeliste"/>
        <w:numPr>
          <w:ilvl w:val="0"/>
          <w:numId w:val="10"/>
        </w:numPr>
        <w:ind w:left="709" w:hanging="283"/>
        <w:rPr>
          <w:rFonts w:ascii="Arial" w:hAnsi="Arial" w:cs="Arial"/>
          <w:sz w:val="20"/>
          <w:szCs w:val="20"/>
        </w:rPr>
      </w:pPr>
      <w:r w:rsidRPr="00367C86">
        <w:rPr>
          <w:rFonts w:ascii="Arial" w:hAnsi="Arial" w:cs="Arial"/>
          <w:sz w:val="20"/>
          <w:szCs w:val="20"/>
        </w:rPr>
        <w:t>Le week-end, les 15-17 ans déclarent passer près de 5 heures/jour sur leur smartphone, plus de 2 heures sur leur console de jeux et près d’une h</w:t>
      </w:r>
      <w:r w:rsidR="009A66D9" w:rsidRPr="00367C86">
        <w:rPr>
          <w:rFonts w:ascii="Arial" w:hAnsi="Arial" w:cs="Arial"/>
          <w:sz w:val="20"/>
          <w:szCs w:val="20"/>
        </w:rPr>
        <w:t xml:space="preserve">eure sur </w:t>
      </w:r>
      <w:r w:rsidR="00E855F4" w:rsidRPr="00367C86">
        <w:rPr>
          <w:rFonts w:ascii="Arial" w:hAnsi="Arial" w:cs="Arial"/>
          <w:sz w:val="20"/>
          <w:szCs w:val="20"/>
        </w:rPr>
        <w:t>tablette,</w:t>
      </w:r>
    </w:p>
    <w:p w:rsidR="00C4586B" w:rsidRPr="00367C86" w:rsidRDefault="004606CB" w:rsidP="009F3BB0">
      <w:pPr>
        <w:pStyle w:val="Paragraphedeliste"/>
        <w:numPr>
          <w:ilvl w:val="0"/>
          <w:numId w:val="10"/>
        </w:numPr>
        <w:ind w:left="709" w:hanging="283"/>
        <w:rPr>
          <w:rFonts w:ascii="Arial" w:hAnsi="Arial" w:cs="Arial"/>
          <w:sz w:val="20"/>
          <w:szCs w:val="20"/>
        </w:rPr>
      </w:pPr>
      <w:r w:rsidRPr="00367C86">
        <w:rPr>
          <w:rFonts w:ascii="Arial" w:hAnsi="Arial" w:cs="Arial"/>
          <w:sz w:val="20"/>
          <w:szCs w:val="20"/>
        </w:rPr>
        <w:t xml:space="preserve">Le niveau d’équipement est estimé à </w:t>
      </w:r>
      <w:r w:rsidR="00C4586B" w:rsidRPr="00367C86">
        <w:rPr>
          <w:rFonts w:ascii="Arial" w:hAnsi="Arial" w:cs="Arial"/>
          <w:sz w:val="20"/>
          <w:szCs w:val="20"/>
        </w:rPr>
        <w:t>6,4 écrans par foyer en moyenne, dont la plupart sont des technologies sans fil (</w:t>
      </w:r>
      <w:r w:rsidRPr="00367C86">
        <w:rPr>
          <w:rFonts w:ascii="Arial" w:hAnsi="Arial" w:cs="Arial"/>
          <w:sz w:val="20"/>
          <w:szCs w:val="20"/>
        </w:rPr>
        <w:t>cf.</w:t>
      </w:r>
      <w:r w:rsidR="00C4586B" w:rsidRPr="00367C86">
        <w:rPr>
          <w:rFonts w:ascii="Arial" w:hAnsi="Arial" w:cs="Arial"/>
          <w:sz w:val="20"/>
          <w:szCs w:val="20"/>
        </w:rPr>
        <w:t>annexe 12).</w:t>
      </w:r>
    </w:p>
    <w:p w:rsidR="003C13F1" w:rsidRPr="00367C86" w:rsidRDefault="003C13F1" w:rsidP="00367C86">
      <w:pPr>
        <w:rPr>
          <w:rFonts w:ascii="Arial" w:hAnsi="Arial" w:cs="Arial"/>
          <w:sz w:val="20"/>
          <w:szCs w:val="20"/>
        </w:rPr>
      </w:pPr>
    </w:p>
    <w:p w:rsidR="009A66D9" w:rsidRPr="00367C86" w:rsidRDefault="00E116C9" w:rsidP="009F3BB0">
      <w:pPr>
        <w:pStyle w:val="Paragraphedeliste"/>
        <w:numPr>
          <w:ilvl w:val="0"/>
          <w:numId w:val="14"/>
        </w:numPr>
        <w:rPr>
          <w:rFonts w:ascii="Arial" w:hAnsi="Arial" w:cs="Arial"/>
          <w:sz w:val="20"/>
          <w:szCs w:val="20"/>
        </w:rPr>
      </w:pPr>
      <w:r w:rsidRPr="00367C86">
        <w:rPr>
          <w:rFonts w:ascii="Arial" w:hAnsi="Arial" w:cs="Arial"/>
          <w:sz w:val="20"/>
          <w:szCs w:val="20"/>
        </w:rPr>
        <w:t>Evolution de l’e</w:t>
      </w:r>
      <w:r w:rsidR="009A66D9" w:rsidRPr="00367C86">
        <w:rPr>
          <w:rFonts w:ascii="Arial" w:hAnsi="Arial" w:cs="Arial"/>
          <w:sz w:val="20"/>
          <w:szCs w:val="20"/>
        </w:rPr>
        <w:t>xposition liée</w:t>
      </w:r>
      <w:r w:rsidR="002F3904" w:rsidRPr="00367C86">
        <w:rPr>
          <w:rFonts w:ascii="Arial" w:hAnsi="Arial" w:cs="Arial"/>
          <w:sz w:val="20"/>
          <w:szCs w:val="20"/>
        </w:rPr>
        <w:t xml:space="preserve"> aux infrastructure</w:t>
      </w:r>
      <w:r w:rsidR="009A66D9" w:rsidRPr="00367C86">
        <w:rPr>
          <w:rFonts w:ascii="Arial" w:hAnsi="Arial" w:cs="Arial"/>
          <w:sz w:val="20"/>
          <w:szCs w:val="20"/>
        </w:rPr>
        <w:t xml:space="preserve">s : </w:t>
      </w:r>
    </w:p>
    <w:p w:rsidR="009A66D9" w:rsidRPr="00367C86" w:rsidRDefault="009A66D9" w:rsidP="00367C86">
      <w:pPr>
        <w:rPr>
          <w:rFonts w:ascii="Arial" w:hAnsi="Arial" w:cs="Arial"/>
          <w:sz w:val="20"/>
          <w:szCs w:val="20"/>
        </w:rPr>
      </w:pPr>
    </w:p>
    <w:p w:rsidR="006C0F8E" w:rsidRPr="00367C86" w:rsidRDefault="006C0F8E" w:rsidP="009F3BB0">
      <w:pPr>
        <w:pStyle w:val="Paragraphedeliste"/>
        <w:numPr>
          <w:ilvl w:val="0"/>
          <w:numId w:val="15"/>
        </w:numPr>
        <w:ind w:left="1418" w:hanging="425"/>
        <w:rPr>
          <w:rFonts w:ascii="Arial" w:hAnsi="Arial" w:cs="Arial"/>
          <w:sz w:val="20"/>
          <w:szCs w:val="20"/>
        </w:rPr>
      </w:pPr>
      <w:r w:rsidRPr="00367C86">
        <w:rPr>
          <w:rFonts w:ascii="Arial" w:hAnsi="Arial" w:cs="Arial"/>
          <w:sz w:val="20"/>
          <w:szCs w:val="20"/>
        </w:rPr>
        <w:t>Antennes-relais de téléphonie mobile :</w:t>
      </w:r>
    </w:p>
    <w:p w:rsidR="009A66D9" w:rsidRPr="00367C86" w:rsidRDefault="009A66D9" w:rsidP="00367C86">
      <w:pPr>
        <w:ind w:left="0" w:firstLine="0"/>
        <w:rPr>
          <w:rFonts w:ascii="Arial" w:hAnsi="Arial" w:cs="Arial"/>
          <w:sz w:val="20"/>
          <w:szCs w:val="20"/>
        </w:rPr>
      </w:pPr>
    </w:p>
    <w:p w:rsidR="006C0F8E" w:rsidRPr="00367C86" w:rsidRDefault="00C2435F" w:rsidP="00367C86">
      <w:pPr>
        <w:ind w:left="0" w:firstLine="0"/>
        <w:rPr>
          <w:rStyle w:val="relative"/>
          <w:rFonts w:ascii="Arial" w:hAnsi="Arial" w:cs="Arial"/>
          <w:sz w:val="20"/>
          <w:szCs w:val="20"/>
        </w:rPr>
      </w:pPr>
      <w:r w:rsidRPr="00367C86">
        <w:rPr>
          <w:rStyle w:val="relative"/>
          <w:rFonts w:ascii="Arial" w:hAnsi="Arial" w:cs="Arial"/>
          <w:sz w:val="20"/>
          <w:szCs w:val="20"/>
        </w:rPr>
        <w:lastRenderedPageBreak/>
        <w:t xml:space="preserve">Le nombre de sites d’antennes-relais de téléphonie mobile </w:t>
      </w:r>
      <w:r w:rsidR="00AE36F0" w:rsidRPr="00367C86">
        <w:rPr>
          <w:rStyle w:val="relative"/>
          <w:rFonts w:ascii="Arial" w:hAnsi="Arial" w:cs="Arial"/>
          <w:sz w:val="20"/>
          <w:szCs w:val="20"/>
        </w:rPr>
        <w:t xml:space="preserve">en service en France </w:t>
      </w:r>
      <w:r w:rsidRPr="00367C86">
        <w:rPr>
          <w:rStyle w:val="relative"/>
          <w:rFonts w:ascii="Arial" w:hAnsi="Arial" w:cs="Arial"/>
          <w:sz w:val="20"/>
          <w:szCs w:val="20"/>
        </w:rPr>
        <w:t>a pratiquement quadruplé en l’espace de 10 ans</w:t>
      </w:r>
      <w:r w:rsidRPr="00367C86">
        <w:rPr>
          <w:rStyle w:val="Appelnotedebasdep"/>
          <w:rFonts w:ascii="Arial" w:hAnsi="Arial" w:cs="Arial"/>
          <w:sz w:val="20"/>
          <w:szCs w:val="20"/>
        </w:rPr>
        <w:footnoteReference w:id="40"/>
      </w:r>
      <w:r w:rsidR="000868A9" w:rsidRPr="00367C86">
        <w:rPr>
          <w:rStyle w:val="relative"/>
          <w:rFonts w:ascii="Arial" w:hAnsi="Arial" w:cs="Arial"/>
          <w:sz w:val="20"/>
          <w:szCs w:val="20"/>
        </w:rPr>
        <w:t xml:space="preserve">. Cela s’est-il </w:t>
      </w:r>
      <w:r w:rsidR="008C7B8C" w:rsidRPr="00367C86">
        <w:rPr>
          <w:rStyle w:val="relative"/>
          <w:rFonts w:ascii="Arial" w:hAnsi="Arial" w:cs="Arial"/>
          <w:sz w:val="20"/>
          <w:szCs w:val="20"/>
        </w:rPr>
        <w:t xml:space="preserve">traduit par un quadruplement du nombre de riverain.e.s </w:t>
      </w:r>
      <w:r w:rsidR="000868A9" w:rsidRPr="00367C86">
        <w:rPr>
          <w:rStyle w:val="relative"/>
          <w:rFonts w:ascii="Arial" w:hAnsi="Arial" w:cs="Arial"/>
          <w:sz w:val="20"/>
          <w:szCs w:val="20"/>
        </w:rPr>
        <w:t>exposé.e.s ? Mécanistiquement, cela semb</w:t>
      </w:r>
      <w:r w:rsidR="00EE06E8" w:rsidRPr="00367C86">
        <w:rPr>
          <w:rStyle w:val="relative"/>
          <w:rFonts w:ascii="Arial" w:hAnsi="Arial" w:cs="Arial"/>
          <w:sz w:val="20"/>
          <w:szCs w:val="20"/>
        </w:rPr>
        <w:t>lerait logique mais aucune étud</w:t>
      </w:r>
      <w:r w:rsidR="000868A9" w:rsidRPr="00367C86">
        <w:rPr>
          <w:rStyle w:val="relative"/>
          <w:rFonts w:ascii="Arial" w:hAnsi="Arial" w:cs="Arial"/>
          <w:sz w:val="20"/>
          <w:szCs w:val="20"/>
        </w:rPr>
        <w:t xml:space="preserve">e sur le sujet n’est disponible. </w:t>
      </w:r>
    </w:p>
    <w:p w:rsidR="001B3D70" w:rsidRPr="00367C86" w:rsidRDefault="002F3904" w:rsidP="00367C86">
      <w:pPr>
        <w:ind w:left="0" w:firstLine="0"/>
        <w:rPr>
          <w:rStyle w:val="relative"/>
          <w:rFonts w:ascii="Arial" w:hAnsi="Arial" w:cs="Arial"/>
          <w:sz w:val="20"/>
          <w:szCs w:val="20"/>
        </w:rPr>
      </w:pPr>
      <w:r w:rsidRPr="00367C86">
        <w:rPr>
          <w:rStyle w:val="relative"/>
          <w:rFonts w:ascii="Arial" w:hAnsi="Arial" w:cs="Arial"/>
          <w:sz w:val="20"/>
          <w:szCs w:val="20"/>
        </w:rPr>
        <w:t xml:space="preserve">Au 1er mai 2025, la France comptait </w:t>
      </w:r>
      <w:r w:rsidRPr="00367C86">
        <w:rPr>
          <w:rStyle w:val="lev"/>
          <w:rFonts w:ascii="Arial" w:hAnsi="Arial" w:cs="Arial"/>
          <w:b w:val="0"/>
          <w:sz w:val="20"/>
          <w:szCs w:val="20"/>
        </w:rPr>
        <w:t>70 362 sites de réseaux mobiles autorisés</w:t>
      </w:r>
      <w:r w:rsidRPr="00367C86">
        <w:rPr>
          <w:rStyle w:val="relative"/>
          <w:rFonts w:ascii="Arial" w:hAnsi="Arial" w:cs="Arial"/>
          <w:sz w:val="20"/>
          <w:szCs w:val="20"/>
        </w:rPr>
        <w:t>, toutes générations confondues (2G, 3G, 4G et 5G)</w:t>
      </w:r>
      <w:r w:rsidRPr="00367C86">
        <w:rPr>
          <w:rStyle w:val="Appelnotedebasdep"/>
          <w:rFonts w:ascii="Arial" w:hAnsi="Arial" w:cs="Arial"/>
          <w:sz w:val="20"/>
          <w:szCs w:val="20"/>
        </w:rPr>
        <w:footnoteReference w:id="41"/>
      </w:r>
      <w:r w:rsidR="004606CB" w:rsidRPr="00367C86">
        <w:rPr>
          <w:rStyle w:val="relative"/>
          <w:rFonts w:ascii="Arial" w:hAnsi="Arial" w:cs="Arial"/>
          <w:sz w:val="20"/>
          <w:szCs w:val="20"/>
        </w:rPr>
        <w:t>, donnée dont on peut déduire que</w:t>
      </w:r>
      <w:r w:rsidR="006C0F8E" w:rsidRPr="00367C86">
        <w:rPr>
          <w:rStyle w:val="relative"/>
          <w:rFonts w:ascii="Arial" w:hAnsi="Arial" w:cs="Arial"/>
          <w:sz w:val="20"/>
          <w:szCs w:val="20"/>
        </w:rPr>
        <w:t xml:space="preserve"> 8% de sites</w:t>
      </w:r>
      <w:r w:rsidR="004606CB" w:rsidRPr="00367C86">
        <w:rPr>
          <w:rStyle w:val="relative"/>
          <w:rFonts w:ascii="Arial" w:hAnsi="Arial" w:cs="Arial"/>
          <w:sz w:val="20"/>
          <w:szCs w:val="20"/>
        </w:rPr>
        <w:t xml:space="preserve"> supplémentaires seront déployés ces prochains mois</w:t>
      </w:r>
      <w:r w:rsidR="006A7B91" w:rsidRPr="00367C86">
        <w:rPr>
          <w:rStyle w:val="relative"/>
          <w:rFonts w:ascii="Arial" w:hAnsi="Arial" w:cs="Arial"/>
          <w:sz w:val="20"/>
          <w:szCs w:val="20"/>
        </w:rPr>
        <w:t xml:space="preserve"> p</w:t>
      </w:r>
      <w:r w:rsidR="006C0F8E" w:rsidRPr="00367C86">
        <w:rPr>
          <w:rStyle w:val="relative"/>
          <w:rFonts w:ascii="Arial" w:hAnsi="Arial" w:cs="Arial"/>
          <w:sz w:val="20"/>
          <w:szCs w:val="20"/>
        </w:rPr>
        <w:t>ar rapport au nombre de sites actuellement déjà opérationnels</w:t>
      </w:r>
      <w:r w:rsidR="009E2DE8" w:rsidRPr="00367C86">
        <w:rPr>
          <w:rStyle w:val="Appelnotedebasdep"/>
          <w:rFonts w:ascii="Arial" w:hAnsi="Arial" w:cs="Arial"/>
          <w:sz w:val="20"/>
          <w:szCs w:val="20"/>
        </w:rPr>
        <w:footnoteReference w:id="42"/>
      </w:r>
      <w:r w:rsidR="009E2DE8" w:rsidRPr="00367C86">
        <w:rPr>
          <w:rStyle w:val="relative"/>
          <w:rFonts w:ascii="Arial" w:hAnsi="Arial" w:cs="Arial"/>
          <w:sz w:val="20"/>
          <w:szCs w:val="20"/>
        </w:rPr>
        <w:t>.</w:t>
      </w:r>
      <w:r w:rsidR="006A7B91" w:rsidRPr="00367C86">
        <w:rPr>
          <w:rStyle w:val="relative"/>
          <w:rFonts w:ascii="Arial" w:hAnsi="Arial" w:cs="Arial"/>
          <w:sz w:val="20"/>
          <w:szCs w:val="20"/>
        </w:rPr>
        <w:t xml:space="preserve"> </w:t>
      </w:r>
    </w:p>
    <w:p w:rsidR="00EE06E8" w:rsidRPr="00367C86" w:rsidRDefault="006C0F8E" w:rsidP="00367C86">
      <w:pPr>
        <w:ind w:left="0" w:firstLine="0"/>
        <w:rPr>
          <w:rStyle w:val="relative"/>
          <w:rFonts w:ascii="Arial" w:hAnsi="Arial" w:cs="Arial"/>
          <w:sz w:val="20"/>
          <w:szCs w:val="20"/>
        </w:rPr>
      </w:pPr>
      <w:r w:rsidRPr="00367C86">
        <w:rPr>
          <w:rStyle w:val="relative"/>
          <w:rFonts w:ascii="Arial" w:hAnsi="Arial" w:cs="Arial"/>
          <w:sz w:val="20"/>
          <w:szCs w:val="20"/>
        </w:rPr>
        <w:t>De ces dé</w:t>
      </w:r>
      <w:r w:rsidR="006A7B91" w:rsidRPr="00367C86">
        <w:rPr>
          <w:rStyle w:val="relative"/>
          <w:rFonts w:ascii="Arial" w:hAnsi="Arial" w:cs="Arial"/>
          <w:sz w:val="20"/>
          <w:szCs w:val="20"/>
        </w:rPr>
        <w:t>pl</w:t>
      </w:r>
      <w:r w:rsidR="00EE06E8" w:rsidRPr="00367C86">
        <w:rPr>
          <w:rStyle w:val="relative"/>
          <w:rFonts w:ascii="Arial" w:hAnsi="Arial" w:cs="Arial"/>
          <w:sz w:val="20"/>
          <w:szCs w:val="20"/>
        </w:rPr>
        <w:t>oiements découle par conséquent</w:t>
      </w:r>
      <w:r w:rsidRPr="00367C86">
        <w:rPr>
          <w:rStyle w:val="relative"/>
          <w:rFonts w:ascii="Arial" w:hAnsi="Arial" w:cs="Arial"/>
          <w:sz w:val="20"/>
          <w:szCs w:val="20"/>
        </w:rPr>
        <w:t xml:space="preserve"> u</w:t>
      </w:r>
      <w:r w:rsidR="00DB598B" w:rsidRPr="00367C86">
        <w:rPr>
          <w:rStyle w:val="relative"/>
          <w:rFonts w:ascii="Arial" w:hAnsi="Arial" w:cs="Arial"/>
          <w:sz w:val="20"/>
          <w:szCs w:val="20"/>
        </w:rPr>
        <w:t xml:space="preserve">ne </w:t>
      </w:r>
      <w:r w:rsidR="00EE06E8" w:rsidRPr="00367C86">
        <w:rPr>
          <w:rStyle w:val="relative"/>
          <w:rFonts w:ascii="Arial" w:hAnsi="Arial" w:cs="Arial"/>
          <w:sz w:val="20"/>
          <w:szCs w:val="20"/>
        </w:rPr>
        <w:t>élé</w:t>
      </w:r>
      <w:r w:rsidR="006A7B91" w:rsidRPr="00367C86">
        <w:rPr>
          <w:rStyle w:val="relative"/>
          <w:rFonts w:ascii="Arial" w:hAnsi="Arial" w:cs="Arial"/>
          <w:sz w:val="20"/>
          <w:szCs w:val="20"/>
        </w:rPr>
        <w:t>vation du niveau d’</w:t>
      </w:r>
      <w:r w:rsidR="00EE06E8" w:rsidRPr="00367C86">
        <w:rPr>
          <w:rStyle w:val="relative"/>
          <w:rFonts w:ascii="Arial" w:hAnsi="Arial" w:cs="Arial"/>
          <w:sz w:val="20"/>
          <w:szCs w:val="20"/>
        </w:rPr>
        <w:t xml:space="preserve">exposition de la population. </w:t>
      </w:r>
    </w:p>
    <w:p w:rsidR="00EE06E8" w:rsidRPr="00367C86" w:rsidRDefault="00EE06E8" w:rsidP="00367C86">
      <w:pPr>
        <w:ind w:left="0" w:firstLine="0"/>
        <w:rPr>
          <w:rStyle w:val="relative"/>
          <w:rFonts w:ascii="Arial" w:hAnsi="Arial" w:cs="Arial"/>
          <w:sz w:val="20"/>
          <w:szCs w:val="20"/>
        </w:rPr>
      </w:pPr>
    </w:p>
    <w:p w:rsidR="005E057B" w:rsidRPr="00367C86" w:rsidRDefault="00EE06E8" w:rsidP="00367C86">
      <w:pPr>
        <w:ind w:left="0" w:firstLine="0"/>
        <w:rPr>
          <w:rStyle w:val="relative"/>
          <w:rFonts w:ascii="Arial" w:hAnsi="Arial" w:cs="Arial"/>
          <w:sz w:val="20"/>
          <w:szCs w:val="20"/>
        </w:rPr>
      </w:pPr>
      <w:r w:rsidRPr="00367C86">
        <w:rPr>
          <w:rStyle w:val="relative"/>
          <w:rFonts w:ascii="Arial" w:hAnsi="Arial" w:cs="Arial"/>
          <w:sz w:val="20"/>
          <w:szCs w:val="20"/>
        </w:rPr>
        <w:t>C</w:t>
      </w:r>
      <w:r w:rsidR="009E2DE8" w:rsidRPr="00367C86">
        <w:rPr>
          <w:rStyle w:val="relative"/>
          <w:rFonts w:ascii="Arial" w:hAnsi="Arial" w:cs="Arial"/>
          <w:sz w:val="20"/>
          <w:szCs w:val="20"/>
        </w:rPr>
        <w:t>ette évolution</w:t>
      </w:r>
      <w:r w:rsidR="006A7B91" w:rsidRPr="00367C86">
        <w:rPr>
          <w:rStyle w:val="relative"/>
          <w:rFonts w:ascii="Arial" w:hAnsi="Arial" w:cs="Arial"/>
          <w:sz w:val="20"/>
          <w:szCs w:val="20"/>
        </w:rPr>
        <w:t xml:space="preserve"> peut notamment être évaluée à travers l’indicateur qu’est le nombre de</w:t>
      </w:r>
      <w:r w:rsidR="00DB598B" w:rsidRPr="00367C86">
        <w:rPr>
          <w:rStyle w:val="relative"/>
          <w:rFonts w:ascii="Arial" w:hAnsi="Arial" w:cs="Arial"/>
          <w:sz w:val="20"/>
          <w:szCs w:val="20"/>
        </w:rPr>
        <w:t xml:space="preserve"> points atypiques</w:t>
      </w:r>
      <w:r w:rsidR="005E057B" w:rsidRPr="00367C86">
        <w:rPr>
          <w:rStyle w:val="relative"/>
          <w:rFonts w:ascii="Arial" w:hAnsi="Arial" w:cs="Arial"/>
          <w:sz w:val="20"/>
          <w:szCs w:val="20"/>
        </w:rPr>
        <w:t> :</w:t>
      </w:r>
    </w:p>
    <w:p w:rsidR="001B3D70" w:rsidRPr="00367C86" w:rsidRDefault="001B3D70" w:rsidP="00367C86">
      <w:pPr>
        <w:ind w:left="0" w:firstLine="0"/>
        <w:rPr>
          <w:rStyle w:val="relative"/>
          <w:rFonts w:ascii="Arial" w:hAnsi="Arial" w:cs="Arial"/>
          <w:sz w:val="20"/>
          <w:szCs w:val="20"/>
        </w:rPr>
      </w:pPr>
    </w:p>
    <w:p w:rsidR="00CF2FA3" w:rsidRPr="00367C86" w:rsidRDefault="006A7B91" w:rsidP="00367C86">
      <w:pPr>
        <w:ind w:left="0" w:firstLine="0"/>
        <w:rPr>
          <w:rFonts w:ascii="Arial" w:hAnsi="Arial" w:cs="Arial"/>
          <w:sz w:val="20"/>
          <w:szCs w:val="20"/>
        </w:rPr>
      </w:pPr>
      <w:r w:rsidRPr="00367C86">
        <w:rPr>
          <w:rStyle w:val="relative"/>
          <w:rFonts w:ascii="Arial" w:hAnsi="Arial" w:cs="Arial"/>
          <w:sz w:val="20"/>
          <w:szCs w:val="20"/>
        </w:rPr>
        <w:t>l</w:t>
      </w:r>
      <w:r w:rsidR="00DE4604" w:rsidRPr="00367C86">
        <w:rPr>
          <w:rStyle w:val="relative"/>
          <w:rFonts w:ascii="Arial" w:hAnsi="Arial" w:cs="Arial"/>
          <w:sz w:val="20"/>
          <w:szCs w:val="20"/>
        </w:rPr>
        <w:t>a loi dite Abeille</w:t>
      </w:r>
      <w:r w:rsidR="00DE4604" w:rsidRPr="00367C86">
        <w:rPr>
          <w:rStyle w:val="Appelnotedebasdep"/>
          <w:rFonts w:ascii="Arial" w:hAnsi="Arial" w:cs="Arial"/>
          <w:sz w:val="20"/>
          <w:szCs w:val="20"/>
        </w:rPr>
        <w:footnoteReference w:id="43"/>
      </w:r>
      <w:r w:rsidR="00DE4604" w:rsidRPr="00367C86">
        <w:rPr>
          <w:rStyle w:val="relative"/>
          <w:rFonts w:ascii="Arial" w:hAnsi="Arial" w:cs="Arial"/>
          <w:sz w:val="20"/>
          <w:szCs w:val="20"/>
        </w:rPr>
        <w:t xml:space="preserve">, du nom de la députée qui l’a proposée, </w:t>
      </w:r>
      <w:r w:rsidR="005E057B" w:rsidRPr="00367C86">
        <w:rPr>
          <w:rStyle w:val="relative"/>
          <w:rFonts w:ascii="Arial" w:hAnsi="Arial" w:cs="Arial"/>
          <w:sz w:val="20"/>
          <w:szCs w:val="20"/>
        </w:rPr>
        <w:t>dé</w:t>
      </w:r>
      <w:r w:rsidR="00DE4604" w:rsidRPr="00367C86">
        <w:rPr>
          <w:rStyle w:val="relative"/>
          <w:rFonts w:ascii="Arial" w:hAnsi="Arial" w:cs="Arial"/>
          <w:sz w:val="20"/>
          <w:szCs w:val="20"/>
        </w:rPr>
        <w:t xml:space="preserve">finit un </w:t>
      </w:r>
      <w:r w:rsidR="005E057B" w:rsidRPr="00367C86">
        <w:rPr>
          <w:rStyle w:val="relative"/>
          <w:rFonts w:ascii="Arial" w:hAnsi="Arial" w:cs="Arial"/>
          <w:sz w:val="20"/>
          <w:szCs w:val="20"/>
        </w:rPr>
        <w:t xml:space="preserve">point atypique </w:t>
      </w:r>
      <w:r w:rsidR="00DE4604" w:rsidRPr="00367C86">
        <w:rPr>
          <w:rStyle w:val="relative"/>
          <w:rFonts w:ascii="Arial" w:hAnsi="Arial" w:cs="Arial"/>
          <w:sz w:val="20"/>
          <w:szCs w:val="20"/>
        </w:rPr>
        <w:t xml:space="preserve">comme étant </w:t>
      </w:r>
      <w:r w:rsidR="005E057B" w:rsidRPr="00367C86">
        <w:rPr>
          <w:rStyle w:val="relative"/>
          <w:rFonts w:ascii="Arial" w:hAnsi="Arial" w:cs="Arial"/>
          <w:sz w:val="20"/>
          <w:szCs w:val="20"/>
        </w:rPr>
        <w:t xml:space="preserve">un lieu </w:t>
      </w:r>
      <w:r w:rsidR="00DE4604" w:rsidRPr="00367C86">
        <w:rPr>
          <w:rStyle w:val="relative"/>
          <w:rFonts w:ascii="Arial" w:hAnsi="Arial" w:cs="Arial"/>
          <w:sz w:val="20"/>
          <w:szCs w:val="20"/>
        </w:rPr>
        <w:t>« </w:t>
      </w:r>
      <w:r w:rsidR="005E057B" w:rsidRPr="00367C86">
        <w:rPr>
          <w:rStyle w:val="relative"/>
          <w:rFonts w:ascii="Arial" w:hAnsi="Arial" w:cs="Arial"/>
          <w:sz w:val="20"/>
          <w:szCs w:val="20"/>
        </w:rPr>
        <w:t xml:space="preserve">dans lequel </w:t>
      </w:r>
      <w:r w:rsidR="00CF2FA3" w:rsidRPr="00367C86">
        <w:rPr>
          <w:rFonts w:ascii="Arial" w:hAnsi="Arial" w:cs="Arial"/>
          <w:sz w:val="20"/>
          <w:szCs w:val="20"/>
        </w:rPr>
        <w:t>le niveau d'exposition aux champs électromagnétiques dépasse substantiellement</w:t>
      </w:r>
      <w:r w:rsidR="00DE4604" w:rsidRPr="00367C86">
        <w:rPr>
          <w:rStyle w:val="Appelnotedebasdep"/>
          <w:rFonts w:ascii="Arial" w:hAnsi="Arial" w:cs="Arial"/>
          <w:sz w:val="20"/>
          <w:szCs w:val="20"/>
        </w:rPr>
        <w:footnoteReference w:id="44"/>
      </w:r>
      <w:r w:rsidR="00CF2FA3" w:rsidRPr="00367C86">
        <w:rPr>
          <w:rFonts w:ascii="Arial" w:hAnsi="Arial" w:cs="Arial"/>
          <w:sz w:val="20"/>
          <w:szCs w:val="20"/>
        </w:rPr>
        <w:t xml:space="preserve"> celui généralement observé à l'échelle nationale</w:t>
      </w:r>
      <w:r w:rsidR="00DE4604" w:rsidRPr="00367C86">
        <w:rPr>
          <w:rFonts w:ascii="Arial" w:hAnsi="Arial" w:cs="Arial"/>
          <w:sz w:val="20"/>
          <w:szCs w:val="20"/>
        </w:rPr>
        <w:t> »</w:t>
      </w:r>
      <w:r w:rsidR="00E855F4" w:rsidRPr="00367C86">
        <w:rPr>
          <w:rFonts w:ascii="Arial" w:hAnsi="Arial" w:cs="Arial"/>
          <w:sz w:val="20"/>
          <w:szCs w:val="20"/>
        </w:rPr>
        <w:t>. L’ANFR</w:t>
      </w:r>
      <w:r w:rsidRPr="00367C86">
        <w:rPr>
          <w:rFonts w:ascii="Arial" w:hAnsi="Arial" w:cs="Arial"/>
          <w:sz w:val="20"/>
          <w:szCs w:val="20"/>
        </w:rPr>
        <w:t>,</w:t>
      </w:r>
      <w:r w:rsidR="00DE4604" w:rsidRPr="00367C86">
        <w:rPr>
          <w:rFonts w:ascii="Arial" w:hAnsi="Arial" w:cs="Arial"/>
          <w:sz w:val="20"/>
          <w:szCs w:val="20"/>
        </w:rPr>
        <w:t xml:space="preserve"> à laquelle la mission d’</w:t>
      </w:r>
      <w:r w:rsidR="00DB598B" w:rsidRPr="00367C86">
        <w:rPr>
          <w:rFonts w:ascii="Arial" w:hAnsi="Arial" w:cs="Arial"/>
          <w:sz w:val="20"/>
          <w:szCs w:val="20"/>
        </w:rPr>
        <w:t>établir un recensement annuel</w:t>
      </w:r>
      <w:r w:rsidRPr="00367C86">
        <w:rPr>
          <w:rFonts w:ascii="Arial" w:hAnsi="Arial" w:cs="Arial"/>
          <w:sz w:val="20"/>
          <w:szCs w:val="20"/>
        </w:rPr>
        <w:t xml:space="preserve"> a été confiée, a</w:t>
      </w:r>
      <w:r w:rsidR="005E057B" w:rsidRPr="00367C86">
        <w:rPr>
          <w:rFonts w:ascii="Arial" w:hAnsi="Arial" w:cs="Arial"/>
          <w:sz w:val="20"/>
          <w:szCs w:val="20"/>
        </w:rPr>
        <w:t xml:space="preserve"> </w:t>
      </w:r>
      <w:r w:rsidRPr="00367C86">
        <w:rPr>
          <w:rFonts w:ascii="Arial" w:hAnsi="Arial" w:cs="Arial"/>
          <w:sz w:val="20"/>
          <w:szCs w:val="20"/>
        </w:rPr>
        <w:t xml:space="preserve">jusqu’à présent </w:t>
      </w:r>
      <w:r w:rsidR="005E057B" w:rsidRPr="00367C86">
        <w:rPr>
          <w:rFonts w:ascii="Arial" w:hAnsi="Arial" w:cs="Arial"/>
          <w:sz w:val="20"/>
          <w:szCs w:val="20"/>
        </w:rPr>
        <w:t>fixé ce seuil à 6 V/m</w:t>
      </w:r>
      <w:r w:rsidRPr="00367C86">
        <w:rPr>
          <w:rStyle w:val="Appelnotedebasdep"/>
          <w:rFonts w:ascii="Arial" w:hAnsi="Arial" w:cs="Arial"/>
          <w:sz w:val="20"/>
          <w:szCs w:val="20"/>
        </w:rPr>
        <w:footnoteReference w:id="45"/>
      </w:r>
      <w:r w:rsidR="005E057B" w:rsidRPr="00367C86">
        <w:rPr>
          <w:rFonts w:ascii="Arial" w:hAnsi="Arial" w:cs="Arial"/>
          <w:sz w:val="20"/>
          <w:szCs w:val="20"/>
        </w:rPr>
        <w:t>.</w:t>
      </w:r>
    </w:p>
    <w:p w:rsidR="00DB598B" w:rsidRPr="00367C86" w:rsidRDefault="00DB598B" w:rsidP="00367C86">
      <w:pPr>
        <w:ind w:left="0" w:firstLine="0"/>
        <w:rPr>
          <w:rFonts w:ascii="Arial" w:hAnsi="Arial" w:cs="Arial"/>
          <w:sz w:val="20"/>
          <w:szCs w:val="20"/>
        </w:rPr>
      </w:pPr>
      <w:r w:rsidRPr="00367C86">
        <w:rPr>
          <w:rFonts w:ascii="Arial" w:hAnsi="Arial" w:cs="Arial"/>
          <w:sz w:val="20"/>
          <w:szCs w:val="20"/>
        </w:rPr>
        <w:t>Nous présentons à l’annexe 13 un graphe dont la courbe est claire : le nombre de situations de</w:t>
      </w:r>
      <w:r w:rsidR="00131D78" w:rsidRPr="00367C86">
        <w:rPr>
          <w:rFonts w:ascii="Arial" w:hAnsi="Arial" w:cs="Arial"/>
          <w:sz w:val="20"/>
          <w:szCs w:val="20"/>
        </w:rPr>
        <w:t xml:space="preserve"> forte </w:t>
      </w:r>
      <w:r w:rsidRPr="00367C86">
        <w:rPr>
          <w:rFonts w:ascii="Arial" w:hAnsi="Arial" w:cs="Arial"/>
          <w:sz w:val="20"/>
          <w:szCs w:val="20"/>
        </w:rPr>
        <w:t>exposition</w:t>
      </w:r>
      <w:r w:rsidR="00131D78" w:rsidRPr="00367C86">
        <w:rPr>
          <w:rFonts w:ascii="Arial" w:hAnsi="Arial" w:cs="Arial"/>
          <w:sz w:val="20"/>
          <w:szCs w:val="20"/>
        </w:rPr>
        <w:t xml:space="preserve"> considérée</w:t>
      </w:r>
      <w:r w:rsidR="009E4B42">
        <w:rPr>
          <w:rFonts w:ascii="Arial" w:hAnsi="Arial" w:cs="Arial"/>
          <w:sz w:val="20"/>
          <w:szCs w:val="20"/>
        </w:rPr>
        <w:t>s</w:t>
      </w:r>
      <w:r w:rsidR="00131D78" w:rsidRPr="00367C86">
        <w:rPr>
          <w:rFonts w:ascii="Arial" w:hAnsi="Arial" w:cs="Arial"/>
          <w:sz w:val="20"/>
          <w:szCs w:val="20"/>
        </w:rPr>
        <w:t xml:space="preserve"> comme atypiques</w:t>
      </w:r>
      <w:r w:rsidRPr="00367C86">
        <w:rPr>
          <w:rFonts w:ascii="Arial" w:hAnsi="Arial" w:cs="Arial"/>
          <w:sz w:val="20"/>
          <w:szCs w:val="20"/>
        </w:rPr>
        <w:t>, bien que restant en-deça des seuils réglementaires</w:t>
      </w:r>
      <w:r w:rsidR="006A7B91" w:rsidRPr="00367C86">
        <w:rPr>
          <w:rStyle w:val="Appelnotedebasdep"/>
          <w:rFonts w:ascii="Arial" w:hAnsi="Arial" w:cs="Arial"/>
          <w:sz w:val="20"/>
          <w:szCs w:val="20"/>
        </w:rPr>
        <w:footnoteReference w:id="46"/>
      </w:r>
      <w:r w:rsidRPr="00367C86">
        <w:rPr>
          <w:rFonts w:ascii="Arial" w:hAnsi="Arial" w:cs="Arial"/>
          <w:sz w:val="20"/>
          <w:szCs w:val="20"/>
        </w:rPr>
        <w:t xml:space="preserve">, augmente. </w:t>
      </w:r>
    </w:p>
    <w:p w:rsidR="00DB598B" w:rsidRPr="00367C86" w:rsidRDefault="00DB598B" w:rsidP="00367C86">
      <w:pPr>
        <w:ind w:left="0" w:firstLine="0"/>
        <w:rPr>
          <w:rFonts w:ascii="Arial" w:hAnsi="Arial" w:cs="Arial"/>
          <w:sz w:val="20"/>
          <w:szCs w:val="20"/>
        </w:rPr>
      </w:pPr>
    </w:p>
    <w:p w:rsidR="003D4569" w:rsidRPr="00367C86" w:rsidRDefault="005E057B" w:rsidP="00367C86">
      <w:pPr>
        <w:ind w:left="0" w:firstLine="0"/>
        <w:rPr>
          <w:rFonts w:ascii="Arial" w:hAnsi="Arial" w:cs="Arial"/>
          <w:sz w:val="20"/>
          <w:szCs w:val="20"/>
        </w:rPr>
      </w:pPr>
      <w:r w:rsidRPr="00367C86">
        <w:rPr>
          <w:rFonts w:ascii="Arial" w:hAnsi="Arial" w:cs="Arial"/>
          <w:sz w:val="20"/>
          <w:szCs w:val="20"/>
        </w:rPr>
        <w:t xml:space="preserve">Il </w:t>
      </w:r>
      <w:r w:rsidR="00DB598B" w:rsidRPr="00367C86">
        <w:rPr>
          <w:rFonts w:ascii="Arial" w:hAnsi="Arial" w:cs="Arial"/>
          <w:sz w:val="20"/>
          <w:szCs w:val="20"/>
        </w:rPr>
        <w:t xml:space="preserve">est à noter que ces éléments reposent </w:t>
      </w:r>
      <w:r w:rsidR="005F756F" w:rsidRPr="00367C86">
        <w:rPr>
          <w:rFonts w:ascii="Arial" w:hAnsi="Arial" w:cs="Arial"/>
          <w:sz w:val="20"/>
          <w:szCs w:val="20"/>
        </w:rPr>
        <w:t>pour près d’1/3</w:t>
      </w:r>
      <w:r w:rsidR="00DB598B" w:rsidRPr="00367C86">
        <w:rPr>
          <w:rFonts w:ascii="Arial" w:hAnsi="Arial" w:cs="Arial"/>
          <w:sz w:val="20"/>
          <w:szCs w:val="20"/>
        </w:rPr>
        <w:t xml:space="preserve"> sur les valeurs constatées lors</w:t>
      </w:r>
      <w:r w:rsidRPr="00367C86">
        <w:rPr>
          <w:rFonts w:ascii="Arial" w:hAnsi="Arial" w:cs="Arial"/>
          <w:sz w:val="20"/>
          <w:szCs w:val="20"/>
        </w:rPr>
        <w:t xml:space="preserve"> de mesures </w:t>
      </w:r>
      <w:r w:rsidR="00EE06E8" w:rsidRPr="00367C86">
        <w:rPr>
          <w:rFonts w:ascii="Arial" w:hAnsi="Arial" w:cs="Arial"/>
          <w:sz w:val="20"/>
          <w:szCs w:val="20"/>
        </w:rPr>
        <w:t xml:space="preserve">à domicile </w:t>
      </w:r>
      <w:r w:rsidRPr="00367C86">
        <w:rPr>
          <w:rFonts w:ascii="Arial" w:hAnsi="Arial" w:cs="Arial"/>
          <w:sz w:val="20"/>
          <w:szCs w:val="20"/>
        </w:rPr>
        <w:t>sollicité</w:t>
      </w:r>
      <w:r w:rsidR="00DB598B" w:rsidRPr="00367C86">
        <w:rPr>
          <w:rFonts w:ascii="Arial" w:hAnsi="Arial" w:cs="Arial"/>
          <w:sz w:val="20"/>
          <w:szCs w:val="20"/>
        </w:rPr>
        <w:t>e</w:t>
      </w:r>
      <w:r w:rsidR="00EE06E8" w:rsidRPr="00367C86">
        <w:rPr>
          <w:rFonts w:ascii="Arial" w:hAnsi="Arial" w:cs="Arial"/>
          <w:sz w:val="20"/>
          <w:szCs w:val="20"/>
        </w:rPr>
        <w:t xml:space="preserve">s </w:t>
      </w:r>
      <w:r w:rsidRPr="00367C86">
        <w:rPr>
          <w:rFonts w:ascii="Arial" w:hAnsi="Arial" w:cs="Arial"/>
          <w:sz w:val="20"/>
          <w:szCs w:val="20"/>
        </w:rPr>
        <w:t xml:space="preserve">par </w:t>
      </w:r>
      <w:r w:rsidR="00EF6B9A" w:rsidRPr="00367C86">
        <w:rPr>
          <w:rFonts w:ascii="Arial" w:hAnsi="Arial" w:cs="Arial"/>
          <w:sz w:val="20"/>
          <w:szCs w:val="20"/>
        </w:rPr>
        <w:t>les habitant</w:t>
      </w:r>
      <w:r w:rsidR="005F756F" w:rsidRPr="00367C86">
        <w:rPr>
          <w:rFonts w:ascii="Arial" w:hAnsi="Arial" w:cs="Arial"/>
          <w:sz w:val="20"/>
          <w:szCs w:val="20"/>
        </w:rPr>
        <w:t>s eux-mêmes</w:t>
      </w:r>
      <w:r w:rsidR="00DB598B" w:rsidRPr="00367C86">
        <w:rPr>
          <w:rFonts w:ascii="Arial" w:hAnsi="Arial" w:cs="Arial"/>
          <w:sz w:val="20"/>
          <w:szCs w:val="20"/>
        </w:rPr>
        <w:t>, ces données publiques pouvant être librement consultées en ligne</w:t>
      </w:r>
      <w:r w:rsidR="00DB598B" w:rsidRPr="00367C86">
        <w:rPr>
          <w:rStyle w:val="Appelnotedebasdep"/>
          <w:rFonts w:ascii="Arial" w:hAnsi="Arial" w:cs="Arial"/>
          <w:sz w:val="20"/>
          <w:szCs w:val="20"/>
        </w:rPr>
        <w:footnoteReference w:id="47"/>
      </w:r>
      <w:r w:rsidR="00DB598B" w:rsidRPr="00367C86">
        <w:rPr>
          <w:rFonts w:ascii="Arial" w:hAnsi="Arial" w:cs="Arial"/>
          <w:sz w:val="20"/>
          <w:szCs w:val="20"/>
        </w:rPr>
        <w:t>. Par conséquent, la probabibilité que des lieux dépassant le niveau du point atypique existe</w:t>
      </w:r>
      <w:r w:rsidR="00EF6B9A" w:rsidRPr="00367C86">
        <w:rPr>
          <w:rFonts w:ascii="Arial" w:hAnsi="Arial" w:cs="Arial"/>
          <w:sz w:val="20"/>
          <w:szCs w:val="20"/>
        </w:rPr>
        <w:t>nt</w:t>
      </w:r>
      <w:r w:rsidR="00DB598B" w:rsidRPr="00367C86">
        <w:rPr>
          <w:rFonts w:ascii="Arial" w:hAnsi="Arial" w:cs="Arial"/>
          <w:sz w:val="20"/>
          <w:szCs w:val="20"/>
        </w:rPr>
        <w:t xml:space="preserve"> et n’ai</w:t>
      </w:r>
      <w:r w:rsidR="00EF6B9A" w:rsidRPr="00367C86">
        <w:rPr>
          <w:rFonts w:ascii="Arial" w:hAnsi="Arial" w:cs="Arial"/>
          <w:sz w:val="20"/>
          <w:szCs w:val="20"/>
        </w:rPr>
        <w:t>en</w:t>
      </w:r>
      <w:r w:rsidR="00DB598B" w:rsidRPr="00367C86">
        <w:rPr>
          <w:rFonts w:ascii="Arial" w:hAnsi="Arial" w:cs="Arial"/>
          <w:sz w:val="20"/>
          <w:szCs w:val="20"/>
        </w:rPr>
        <w:t>t pas été recensé</w:t>
      </w:r>
      <w:r w:rsidR="00EF6B9A" w:rsidRPr="00367C86">
        <w:rPr>
          <w:rFonts w:ascii="Arial" w:hAnsi="Arial" w:cs="Arial"/>
          <w:sz w:val="20"/>
          <w:szCs w:val="20"/>
        </w:rPr>
        <w:t>s</w:t>
      </w:r>
      <w:r w:rsidR="00DB598B" w:rsidRPr="00367C86">
        <w:rPr>
          <w:rFonts w:ascii="Arial" w:hAnsi="Arial" w:cs="Arial"/>
          <w:sz w:val="20"/>
          <w:szCs w:val="20"/>
        </w:rPr>
        <w:t>, faute de mesures</w:t>
      </w:r>
      <w:r w:rsidR="005F756F" w:rsidRPr="00367C86">
        <w:rPr>
          <w:rFonts w:ascii="Arial" w:hAnsi="Arial" w:cs="Arial"/>
          <w:sz w:val="20"/>
          <w:szCs w:val="20"/>
        </w:rPr>
        <w:t>,</w:t>
      </w:r>
      <w:r w:rsidR="00DB598B" w:rsidRPr="00367C86">
        <w:rPr>
          <w:rFonts w:ascii="Arial" w:hAnsi="Arial" w:cs="Arial"/>
          <w:sz w:val="20"/>
          <w:szCs w:val="20"/>
        </w:rPr>
        <w:t xml:space="preserve"> e</w:t>
      </w:r>
      <w:r w:rsidR="005F756F" w:rsidRPr="00367C86">
        <w:rPr>
          <w:rFonts w:ascii="Arial" w:hAnsi="Arial" w:cs="Arial"/>
          <w:sz w:val="20"/>
          <w:szCs w:val="20"/>
        </w:rPr>
        <w:t>st forte</w:t>
      </w:r>
      <w:r w:rsidR="00DB598B" w:rsidRPr="00367C86">
        <w:rPr>
          <w:rFonts w:ascii="Arial" w:hAnsi="Arial" w:cs="Arial"/>
          <w:sz w:val="20"/>
          <w:szCs w:val="20"/>
        </w:rPr>
        <w:t xml:space="preserve"> : </w:t>
      </w:r>
      <w:r w:rsidR="00073E2A" w:rsidRPr="00367C86">
        <w:rPr>
          <w:rFonts w:ascii="Arial" w:hAnsi="Arial" w:cs="Arial"/>
          <w:sz w:val="20"/>
          <w:szCs w:val="20"/>
        </w:rPr>
        <w:t xml:space="preserve">près de </w:t>
      </w:r>
      <w:r w:rsidR="00DB598B" w:rsidRPr="00367C86">
        <w:rPr>
          <w:rFonts w:ascii="Arial" w:hAnsi="Arial" w:cs="Arial"/>
          <w:sz w:val="20"/>
          <w:szCs w:val="20"/>
        </w:rPr>
        <w:t>38 millions de logements au 1</w:t>
      </w:r>
      <w:r w:rsidR="00DB598B" w:rsidRPr="00367C86">
        <w:rPr>
          <w:rFonts w:ascii="Arial" w:hAnsi="Arial" w:cs="Arial"/>
          <w:sz w:val="20"/>
          <w:szCs w:val="20"/>
          <w:vertAlign w:val="superscript"/>
        </w:rPr>
        <w:t>er</w:t>
      </w:r>
      <w:r w:rsidR="00DB598B" w:rsidRPr="00367C86">
        <w:rPr>
          <w:rFonts w:ascii="Arial" w:hAnsi="Arial" w:cs="Arial"/>
          <w:sz w:val="20"/>
          <w:szCs w:val="20"/>
        </w:rPr>
        <w:t xml:space="preserve"> janvier 2024 (source Insee), 6596 mesures répertoriées dans le recensement annuel des points atypiques ANFR, </w:t>
      </w:r>
      <w:r w:rsidR="00073E2A" w:rsidRPr="00367C86">
        <w:rPr>
          <w:rFonts w:ascii="Arial" w:hAnsi="Arial" w:cs="Arial"/>
          <w:sz w:val="20"/>
          <w:szCs w:val="20"/>
        </w:rPr>
        <w:t>dont certaines sur la voie publique ou de</w:t>
      </w:r>
      <w:r w:rsidR="00EF6B9A" w:rsidRPr="00367C86">
        <w:rPr>
          <w:rFonts w:ascii="Arial" w:hAnsi="Arial" w:cs="Arial"/>
          <w:sz w:val="20"/>
          <w:szCs w:val="20"/>
        </w:rPr>
        <w:t>s établissements accessibles au public</w:t>
      </w:r>
      <w:r w:rsidR="00073E2A" w:rsidRPr="00367C86">
        <w:rPr>
          <w:rFonts w:ascii="Arial" w:hAnsi="Arial" w:cs="Arial"/>
          <w:sz w:val="20"/>
          <w:szCs w:val="20"/>
        </w:rPr>
        <w:t xml:space="preserve">, soit une connaissance de l’exposition électromagnétique dans moins de 0.02% des logements français. Par ailleurs, si l’on appliquait le pourcentage de points atypiques constatés </w:t>
      </w:r>
      <w:r w:rsidR="005F756F" w:rsidRPr="00367C86">
        <w:rPr>
          <w:rFonts w:ascii="Arial" w:hAnsi="Arial" w:cs="Arial"/>
          <w:sz w:val="20"/>
          <w:szCs w:val="20"/>
        </w:rPr>
        <w:t xml:space="preserve">chez les particuliers </w:t>
      </w:r>
      <w:r w:rsidR="00073E2A" w:rsidRPr="00367C86">
        <w:rPr>
          <w:rFonts w:ascii="Arial" w:hAnsi="Arial" w:cs="Arial"/>
          <w:sz w:val="20"/>
          <w:szCs w:val="20"/>
        </w:rPr>
        <w:t>par rapport au nombre de mesures effectuées</w:t>
      </w:r>
      <w:r w:rsidR="005F756F" w:rsidRPr="00367C86">
        <w:rPr>
          <w:rFonts w:ascii="Arial" w:hAnsi="Arial" w:cs="Arial"/>
          <w:sz w:val="20"/>
          <w:szCs w:val="20"/>
        </w:rPr>
        <w:t xml:space="preserve"> en 2023 (soit 3.86</w:t>
      </w:r>
      <w:r w:rsidR="00073E2A" w:rsidRPr="00367C86">
        <w:rPr>
          <w:rFonts w:ascii="Arial" w:hAnsi="Arial" w:cs="Arial"/>
          <w:sz w:val="20"/>
          <w:szCs w:val="20"/>
        </w:rPr>
        <w:t xml:space="preserve">%) au nombre </w:t>
      </w:r>
      <w:r w:rsidR="001F745D" w:rsidRPr="00367C86">
        <w:rPr>
          <w:rFonts w:ascii="Arial" w:hAnsi="Arial" w:cs="Arial"/>
          <w:sz w:val="20"/>
          <w:szCs w:val="20"/>
        </w:rPr>
        <w:t xml:space="preserve">total </w:t>
      </w:r>
      <w:r w:rsidR="00073E2A" w:rsidRPr="00367C86">
        <w:rPr>
          <w:rFonts w:ascii="Arial" w:hAnsi="Arial" w:cs="Arial"/>
          <w:sz w:val="20"/>
          <w:szCs w:val="20"/>
        </w:rPr>
        <w:t>de log</w:t>
      </w:r>
      <w:r w:rsidR="005F756F" w:rsidRPr="00367C86">
        <w:rPr>
          <w:rFonts w:ascii="Arial" w:hAnsi="Arial" w:cs="Arial"/>
          <w:sz w:val="20"/>
          <w:szCs w:val="20"/>
        </w:rPr>
        <w:t>ements</w:t>
      </w:r>
      <w:r w:rsidR="001F745D" w:rsidRPr="00367C86">
        <w:rPr>
          <w:rFonts w:ascii="Arial" w:hAnsi="Arial" w:cs="Arial"/>
          <w:sz w:val="20"/>
          <w:szCs w:val="20"/>
        </w:rPr>
        <w:t xml:space="preserve"> français</w:t>
      </w:r>
      <w:r w:rsidR="005F756F" w:rsidRPr="00367C86">
        <w:rPr>
          <w:rFonts w:ascii="Arial" w:hAnsi="Arial" w:cs="Arial"/>
          <w:sz w:val="20"/>
          <w:szCs w:val="20"/>
        </w:rPr>
        <w:t>, nous obtiendrions près d’1,5 million</w:t>
      </w:r>
      <w:r w:rsidR="001F745D" w:rsidRPr="00367C86">
        <w:rPr>
          <w:rFonts w:ascii="Arial" w:hAnsi="Arial" w:cs="Arial"/>
          <w:sz w:val="20"/>
          <w:szCs w:val="20"/>
        </w:rPr>
        <w:t xml:space="preserve"> de foyers fortement</w:t>
      </w:r>
      <w:r w:rsidR="00073E2A" w:rsidRPr="00367C86">
        <w:rPr>
          <w:rFonts w:ascii="Arial" w:hAnsi="Arial" w:cs="Arial"/>
          <w:sz w:val="20"/>
          <w:szCs w:val="20"/>
        </w:rPr>
        <w:t xml:space="preserve">, voire très fortement, </w:t>
      </w:r>
      <w:r w:rsidR="001F745D" w:rsidRPr="00367C86">
        <w:rPr>
          <w:rFonts w:ascii="Arial" w:hAnsi="Arial" w:cs="Arial"/>
          <w:sz w:val="20"/>
          <w:szCs w:val="20"/>
        </w:rPr>
        <w:t xml:space="preserve">exposés, </w:t>
      </w:r>
      <w:r w:rsidR="00073E2A" w:rsidRPr="00367C86">
        <w:rPr>
          <w:rFonts w:ascii="Arial" w:hAnsi="Arial" w:cs="Arial"/>
          <w:sz w:val="20"/>
          <w:szCs w:val="20"/>
        </w:rPr>
        <w:t>la moye</w:t>
      </w:r>
      <w:r w:rsidR="00DC5111" w:rsidRPr="00367C86">
        <w:rPr>
          <w:rFonts w:ascii="Arial" w:hAnsi="Arial" w:cs="Arial"/>
          <w:sz w:val="20"/>
          <w:szCs w:val="20"/>
        </w:rPr>
        <w:t>nne constatée étant de 8.20 V/m</w:t>
      </w:r>
      <w:r w:rsidR="006C0F8E" w:rsidRPr="00367C86">
        <w:rPr>
          <w:rFonts w:ascii="Arial" w:hAnsi="Arial" w:cs="Arial"/>
          <w:sz w:val="20"/>
          <w:szCs w:val="20"/>
        </w:rPr>
        <w:t>.</w:t>
      </w:r>
      <w:r w:rsidR="003D4569" w:rsidRPr="00367C86">
        <w:rPr>
          <w:rFonts w:ascii="Arial" w:hAnsi="Arial" w:cs="Arial"/>
          <w:sz w:val="20"/>
          <w:szCs w:val="20"/>
        </w:rPr>
        <w:t xml:space="preserve"> </w:t>
      </w:r>
    </w:p>
    <w:p w:rsidR="00EE06E8" w:rsidRPr="00367C86" w:rsidRDefault="003D4569" w:rsidP="00367C86">
      <w:pPr>
        <w:ind w:left="0" w:firstLine="0"/>
        <w:rPr>
          <w:rFonts w:ascii="Arial" w:hAnsi="Arial" w:cs="Arial"/>
          <w:sz w:val="20"/>
          <w:szCs w:val="20"/>
        </w:rPr>
      </w:pPr>
      <w:r w:rsidRPr="00367C86">
        <w:rPr>
          <w:rFonts w:ascii="Arial" w:hAnsi="Arial" w:cs="Arial"/>
          <w:sz w:val="20"/>
          <w:szCs w:val="20"/>
        </w:rPr>
        <w:t xml:space="preserve">Pour 96 % des cas de points atypiques, le contributeur principal est la téléphonie mobile (contre 87% en 2017). </w:t>
      </w:r>
      <w:r w:rsidR="00C3410C" w:rsidRPr="00367C86">
        <w:rPr>
          <w:rFonts w:ascii="Arial" w:hAnsi="Arial" w:cs="Arial"/>
          <w:sz w:val="20"/>
          <w:szCs w:val="20"/>
        </w:rPr>
        <w:t>A</w:t>
      </w:r>
      <w:r w:rsidR="00EE06E8" w:rsidRPr="00367C86">
        <w:rPr>
          <w:rFonts w:ascii="Arial" w:hAnsi="Arial" w:cs="Arial"/>
          <w:sz w:val="20"/>
          <w:szCs w:val="20"/>
        </w:rPr>
        <w:t xml:space="preserve"> cette exposition que nous pourrions qualifier de « subie » s’ajoute</w:t>
      </w:r>
      <w:r w:rsidR="00C3410C" w:rsidRPr="00367C86">
        <w:rPr>
          <w:rFonts w:ascii="Arial" w:hAnsi="Arial" w:cs="Arial"/>
          <w:sz w:val="20"/>
          <w:szCs w:val="20"/>
        </w:rPr>
        <w:t xml:space="preserve">nt </w:t>
      </w:r>
      <w:r w:rsidR="008637A8" w:rsidRPr="00367C86">
        <w:rPr>
          <w:rFonts w:ascii="Arial" w:hAnsi="Arial" w:cs="Arial"/>
          <w:sz w:val="20"/>
          <w:szCs w:val="20"/>
        </w:rPr>
        <w:t xml:space="preserve">par ailleurs </w:t>
      </w:r>
      <w:r w:rsidR="00C3410C" w:rsidRPr="00367C86">
        <w:rPr>
          <w:rFonts w:ascii="Arial" w:hAnsi="Arial" w:cs="Arial"/>
          <w:sz w:val="20"/>
          <w:szCs w:val="20"/>
        </w:rPr>
        <w:t>les expositions liées aux usages domestiques.</w:t>
      </w:r>
    </w:p>
    <w:p w:rsidR="006C0F8E" w:rsidRPr="00367C86" w:rsidRDefault="006C0F8E" w:rsidP="00367C86">
      <w:pPr>
        <w:ind w:left="0" w:firstLine="0"/>
        <w:rPr>
          <w:rFonts w:ascii="Arial" w:hAnsi="Arial" w:cs="Arial"/>
          <w:sz w:val="20"/>
          <w:szCs w:val="20"/>
        </w:rPr>
      </w:pPr>
    </w:p>
    <w:p w:rsidR="006C0F8E" w:rsidRPr="00367C86" w:rsidRDefault="001F745D" w:rsidP="009F3BB0">
      <w:pPr>
        <w:pStyle w:val="Paragraphedeliste"/>
        <w:numPr>
          <w:ilvl w:val="0"/>
          <w:numId w:val="10"/>
        </w:numPr>
        <w:rPr>
          <w:rFonts w:ascii="Arial" w:hAnsi="Arial" w:cs="Arial"/>
          <w:sz w:val="20"/>
          <w:szCs w:val="20"/>
        </w:rPr>
      </w:pPr>
      <w:r w:rsidRPr="00367C86">
        <w:rPr>
          <w:rFonts w:ascii="Arial" w:hAnsi="Arial" w:cs="Arial"/>
          <w:sz w:val="20"/>
          <w:szCs w:val="20"/>
        </w:rPr>
        <w:t>D</w:t>
      </w:r>
      <w:r w:rsidR="006C0F8E" w:rsidRPr="00367C86">
        <w:rPr>
          <w:rFonts w:ascii="Arial" w:hAnsi="Arial" w:cs="Arial"/>
          <w:sz w:val="20"/>
          <w:szCs w:val="20"/>
        </w:rPr>
        <w:t>éploiement des technologies sans fil dans les établissements publics :</w:t>
      </w:r>
    </w:p>
    <w:p w:rsidR="006C0F8E" w:rsidRPr="00367C86" w:rsidRDefault="006C0F8E" w:rsidP="00367C86">
      <w:pPr>
        <w:rPr>
          <w:rFonts w:ascii="Arial" w:hAnsi="Arial" w:cs="Arial"/>
          <w:sz w:val="20"/>
          <w:szCs w:val="20"/>
        </w:rPr>
      </w:pPr>
    </w:p>
    <w:p w:rsidR="006C0F8E" w:rsidRPr="00367C86" w:rsidRDefault="006C0F8E" w:rsidP="00367C86">
      <w:pPr>
        <w:ind w:left="0" w:firstLine="0"/>
        <w:rPr>
          <w:rFonts w:ascii="Arial" w:hAnsi="Arial" w:cs="Arial"/>
          <w:sz w:val="20"/>
          <w:szCs w:val="20"/>
          <w:shd w:val="clear" w:color="auto" w:fill="FFFFFF"/>
        </w:rPr>
      </w:pPr>
      <w:r w:rsidRPr="00367C86">
        <w:rPr>
          <w:rStyle w:val="relative"/>
          <w:rFonts w:ascii="Arial" w:hAnsi="Arial" w:cs="Arial"/>
          <w:sz w:val="20"/>
          <w:szCs w:val="20"/>
        </w:rPr>
        <w:t>Une autre évolution expose plus particulièremen</w:t>
      </w:r>
      <w:r w:rsidR="00EF6B9A" w:rsidRPr="00367C86">
        <w:rPr>
          <w:rStyle w:val="relative"/>
          <w:rFonts w:ascii="Arial" w:hAnsi="Arial" w:cs="Arial"/>
          <w:sz w:val="20"/>
          <w:szCs w:val="20"/>
        </w:rPr>
        <w:t>t les enfants et adolescent</w:t>
      </w:r>
      <w:r w:rsidRPr="00367C86">
        <w:rPr>
          <w:rStyle w:val="relative"/>
          <w:rFonts w:ascii="Arial" w:hAnsi="Arial" w:cs="Arial"/>
          <w:sz w:val="20"/>
          <w:szCs w:val="20"/>
        </w:rPr>
        <w:t>s : l’Education nationale et les collectivités locales mènent depuis quelques années une politique extrêmement volontariste en faveur du déploiement des technologies sans fil, notamment dans les collèges et lycées. Ainsi, par exemple, c’est le département de Loire Atlantique qui déploie son plan numérique des collèges publics jusqu’en 2029 et dont le premier point promet « </w:t>
      </w:r>
      <w:r w:rsidRPr="00367C86">
        <w:rPr>
          <w:rFonts w:ascii="Arial" w:hAnsi="Arial" w:cs="Arial"/>
          <w:sz w:val="20"/>
          <w:szCs w:val="20"/>
          <w:shd w:val="clear" w:color="auto" w:fill="FFFFFF"/>
        </w:rPr>
        <w:t>Extension de la couverture WIFI à tous les espaces pédagogiques et développement des usages mobiles »</w:t>
      </w:r>
      <w:r w:rsidRPr="00367C86">
        <w:rPr>
          <w:rStyle w:val="Appelnotedebasdep"/>
          <w:rFonts w:ascii="Arial" w:hAnsi="Arial" w:cs="Arial"/>
          <w:sz w:val="20"/>
          <w:szCs w:val="20"/>
          <w:shd w:val="clear" w:color="auto" w:fill="FFFFFF"/>
        </w:rPr>
        <w:footnoteReference w:id="48"/>
      </w:r>
      <w:r w:rsidRPr="00367C86">
        <w:rPr>
          <w:rFonts w:ascii="Arial" w:hAnsi="Arial" w:cs="Arial"/>
          <w:sz w:val="20"/>
          <w:szCs w:val="20"/>
          <w:shd w:val="clear" w:color="auto" w:fill="FFFFFF"/>
        </w:rPr>
        <w:t xml:space="preserve"> ; c’est la Moselle qui investit 15 millions d’euros pour la période 2022-2027 afin de fournir des tablettes aux collèges « pour faciliter le nomadisme » et </w:t>
      </w:r>
      <w:r w:rsidR="00131D78" w:rsidRPr="00367C86">
        <w:rPr>
          <w:rFonts w:ascii="Arial" w:hAnsi="Arial" w:cs="Arial"/>
          <w:sz w:val="20"/>
          <w:szCs w:val="20"/>
          <w:shd w:val="clear" w:color="auto" w:fill="FFFFFF"/>
        </w:rPr>
        <w:t xml:space="preserve">qui </w:t>
      </w:r>
      <w:r w:rsidR="00EF6B9A" w:rsidRPr="00367C86">
        <w:rPr>
          <w:rFonts w:ascii="Arial" w:hAnsi="Arial" w:cs="Arial"/>
          <w:sz w:val="20"/>
          <w:szCs w:val="20"/>
          <w:shd w:val="clear" w:color="auto" w:fill="FFFFFF"/>
        </w:rPr>
        <w:t>installera des bornes w</w:t>
      </w:r>
      <w:r w:rsidRPr="00367C86">
        <w:rPr>
          <w:rFonts w:ascii="Arial" w:hAnsi="Arial" w:cs="Arial"/>
          <w:sz w:val="20"/>
          <w:szCs w:val="20"/>
          <w:shd w:val="clear" w:color="auto" w:fill="FFFFFF"/>
        </w:rPr>
        <w:t>ifi pour « offrir une couverture optimale dans chaque établissement »</w:t>
      </w:r>
      <w:r w:rsidRPr="00367C86">
        <w:rPr>
          <w:rStyle w:val="Appelnotedebasdep"/>
          <w:rFonts w:ascii="Arial" w:hAnsi="Arial" w:cs="Arial"/>
          <w:sz w:val="20"/>
          <w:szCs w:val="20"/>
          <w:shd w:val="clear" w:color="auto" w:fill="FFFFFF"/>
        </w:rPr>
        <w:footnoteReference w:id="49"/>
      </w:r>
      <w:r w:rsidRPr="00367C86">
        <w:rPr>
          <w:rFonts w:ascii="Arial" w:hAnsi="Arial" w:cs="Arial"/>
          <w:sz w:val="20"/>
          <w:szCs w:val="20"/>
          <w:shd w:val="clear" w:color="auto" w:fill="FFFFFF"/>
        </w:rPr>
        <w:t> ; c’est la région Pays de la Loire qui dans son plan Lycée 4.0</w:t>
      </w:r>
      <w:r w:rsidRPr="00367C86">
        <w:rPr>
          <w:rStyle w:val="Appelnotedebasdep"/>
          <w:rFonts w:ascii="Arial" w:hAnsi="Arial" w:cs="Arial"/>
          <w:sz w:val="20"/>
          <w:szCs w:val="20"/>
          <w:shd w:val="clear" w:color="auto" w:fill="FFFFFF"/>
        </w:rPr>
        <w:footnoteReference w:id="50"/>
      </w:r>
      <w:r w:rsidR="00EF6B9A" w:rsidRPr="00367C86">
        <w:rPr>
          <w:rFonts w:ascii="Arial" w:hAnsi="Arial" w:cs="Arial"/>
          <w:sz w:val="20"/>
          <w:szCs w:val="20"/>
          <w:shd w:val="clear" w:color="auto" w:fill="FFFFFF"/>
        </w:rPr>
        <w:t xml:space="preserve"> s’engage pour une couverture w</w:t>
      </w:r>
      <w:r w:rsidRPr="00367C86">
        <w:rPr>
          <w:rFonts w:ascii="Arial" w:hAnsi="Arial" w:cs="Arial"/>
          <w:sz w:val="20"/>
          <w:szCs w:val="20"/>
          <w:shd w:val="clear" w:color="auto" w:fill="FFFFFF"/>
        </w:rPr>
        <w:t xml:space="preserve">ifi des établissements scolaires ; c’est la région Ile-de-France </w:t>
      </w:r>
      <w:r w:rsidR="00131D78" w:rsidRPr="00367C86">
        <w:rPr>
          <w:rFonts w:ascii="Arial" w:hAnsi="Arial" w:cs="Arial"/>
          <w:sz w:val="20"/>
          <w:szCs w:val="20"/>
          <w:shd w:val="clear" w:color="auto" w:fill="FFFFFF"/>
        </w:rPr>
        <w:t>qui a achevé</w:t>
      </w:r>
      <w:r w:rsidRPr="00367C86">
        <w:rPr>
          <w:rFonts w:ascii="Arial" w:hAnsi="Arial" w:cs="Arial"/>
          <w:sz w:val="20"/>
          <w:szCs w:val="20"/>
          <w:shd w:val="clear" w:color="auto" w:fill="FFFFFF"/>
        </w:rPr>
        <w:t xml:space="preserve"> la couverture wifi de tous les lycées franciliens…nous nous arrêterons là </w:t>
      </w:r>
      <w:r w:rsidRPr="00367C86">
        <w:rPr>
          <w:rFonts w:ascii="Arial" w:hAnsi="Arial" w:cs="Arial"/>
          <w:sz w:val="20"/>
          <w:szCs w:val="20"/>
          <w:shd w:val="clear" w:color="auto" w:fill="FFFFFF"/>
        </w:rPr>
        <w:lastRenderedPageBreak/>
        <w:t xml:space="preserve">mais reviendrons dans la troisième partie sur ce mouvement qui découle </w:t>
      </w:r>
      <w:r w:rsidR="001F745D" w:rsidRPr="00367C86">
        <w:rPr>
          <w:rFonts w:ascii="Arial" w:hAnsi="Arial" w:cs="Arial"/>
          <w:sz w:val="20"/>
          <w:szCs w:val="20"/>
          <w:shd w:val="clear" w:color="auto" w:fill="FFFFFF"/>
        </w:rPr>
        <w:t>d’un élan</w:t>
      </w:r>
      <w:r w:rsidRPr="00367C86">
        <w:rPr>
          <w:rFonts w:ascii="Arial" w:hAnsi="Arial" w:cs="Arial"/>
          <w:sz w:val="20"/>
          <w:szCs w:val="20"/>
          <w:shd w:val="clear" w:color="auto" w:fill="FFFFFF"/>
        </w:rPr>
        <w:t xml:space="preserve"> national annoncé dès 2013 et</w:t>
      </w:r>
      <w:r w:rsidR="00EF6B9A" w:rsidRPr="00367C86">
        <w:rPr>
          <w:rFonts w:ascii="Arial" w:hAnsi="Arial" w:cs="Arial"/>
          <w:sz w:val="20"/>
          <w:szCs w:val="20"/>
          <w:shd w:val="clear" w:color="auto" w:fill="FFFFFF"/>
        </w:rPr>
        <w:t>,</w:t>
      </w:r>
      <w:r w:rsidRPr="00367C86">
        <w:rPr>
          <w:rFonts w:ascii="Arial" w:hAnsi="Arial" w:cs="Arial"/>
          <w:sz w:val="20"/>
          <w:szCs w:val="20"/>
          <w:shd w:val="clear" w:color="auto" w:fill="FFFFFF"/>
        </w:rPr>
        <w:t xml:space="preserve"> plus largement</w:t>
      </w:r>
      <w:r w:rsidR="00EF6B9A" w:rsidRPr="00367C86">
        <w:rPr>
          <w:rFonts w:ascii="Arial" w:hAnsi="Arial" w:cs="Arial"/>
          <w:sz w:val="20"/>
          <w:szCs w:val="20"/>
          <w:shd w:val="clear" w:color="auto" w:fill="FFFFFF"/>
        </w:rPr>
        <w:t>, d’orientations</w:t>
      </w:r>
      <w:r w:rsidRPr="00367C86">
        <w:rPr>
          <w:rFonts w:ascii="Arial" w:hAnsi="Arial" w:cs="Arial"/>
          <w:sz w:val="20"/>
          <w:szCs w:val="20"/>
          <w:shd w:val="clear" w:color="auto" w:fill="FFFFFF"/>
        </w:rPr>
        <w:t xml:space="preserve"> européen</w:t>
      </w:r>
      <w:r w:rsidR="00EF6B9A" w:rsidRPr="00367C86">
        <w:rPr>
          <w:rFonts w:ascii="Arial" w:hAnsi="Arial" w:cs="Arial"/>
          <w:sz w:val="20"/>
          <w:szCs w:val="20"/>
          <w:shd w:val="clear" w:color="auto" w:fill="FFFFFF"/>
        </w:rPr>
        <w:t>nes</w:t>
      </w:r>
      <w:r w:rsidRPr="00367C86">
        <w:rPr>
          <w:rFonts w:ascii="Arial" w:hAnsi="Arial" w:cs="Arial"/>
          <w:sz w:val="20"/>
          <w:szCs w:val="20"/>
          <w:shd w:val="clear" w:color="auto" w:fill="FFFFFF"/>
        </w:rPr>
        <w:t>.</w:t>
      </w:r>
    </w:p>
    <w:p w:rsidR="00C3410C" w:rsidRPr="00367C86" w:rsidRDefault="00C3410C" w:rsidP="00367C86">
      <w:pPr>
        <w:ind w:left="0" w:firstLine="0"/>
        <w:rPr>
          <w:rFonts w:ascii="Arial" w:hAnsi="Arial" w:cs="Arial"/>
          <w:sz w:val="20"/>
          <w:szCs w:val="20"/>
        </w:rPr>
      </w:pPr>
    </w:p>
    <w:p w:rsidR="001664AE" w:rsidRPr="00367C86" w:rsidRDefault="00C3410C" w:rsidP="00367C86">
      <w:pPr>
        <w:ind w:left="0" w:firstLine="0"/>
        <w:rPr>
          <w:rFonts w:ascii="Arial" w:hAnsi="Arial" w:cs="Arial"/>
          <w:sz w:val="20"/>
          <w:szCs w:val="20"/>
        </w:rPr>
      </w:pPr>
      <w:r w:rsidRPr="00367C86">
        <w:rPr>
          <w:rFonts w:ascii="Arial" w:hAnsi="Arial" w:cs="Arial"/>
          <w:sz w:val="20"/>
          <w:szCs w:val="20"/>
        </w:rPr>
        <w:t xml:space="preserve">A ces éléments </w:t>
      </w:r>
      <w:r w:rsidR="008413F6" w:rsidRPr="00367C86">
        <w:rPr>
          <w:rFonts w:ascii="Arial" w:hAnsi="Arial" w:cs="Arial"/>
          <w:sz w:val="20"/>
          <w:szCs w:val="20"/>
        </w:rPr>
        <w:t>étayant quantitativement le caractère invasif des technologies sans fil doit s’ajouter une pris</w:t>
      </w:r>
      <w:r w:rsidR="00C554C7">
        <w:rPr>
          <w:rFonts w:ascii="Arial" w:hAnsi="Arial" w:cs="Arial"/>
          <w:sz w:val="20"/>
          <w:szCs w:val="20"/>
        </w:rPr>
        <w:t xml:space="preserve">e en compte de la physique-même </w:t>
      </w:r>
      <w:r w:rsidR="008413F6" w:rsidRPr="00367C86">
        <w:rPr>
          <w:rFonts w:ascii="Arial" w:hAnsi="Arial" w:cs="Arial"/>
          <w:sz w:val="20"/>
          <w:szCs w:val="20"/>
        </w:rPr>
        <w:t>des radiofréquences.</w:t>
      </w:r>
    </w:p>
    <w:p w:rsidR="00131D78" w:rsidRPr="00367C86" w:rsidRDefault="00131D78" w:rsidP="00367C86">
      <w:pPr>
        <w:ind w:left="0" w:firstLine="0"/>
        <w:rPr>
          <w:rFonts w:ascii="Arial" w:hAnsi="Arial" w:cs="Arial"/>
          <w:sz w:val="20"/>
          <w:szCs w:val="20"/>
        </w:rPr>
      </w:pPr>
    </w:p>
    <w:p w:rsidR="00C3410C" w:rsidRPr="00367C86" w:rsidRDefault="00C3410C" w:rsidP="009F3BB0">
      <w:pPr>
        <w:pStyle w:val="Paragraphedeliste"/>
        <w:numPr>
          <w:ilvl w:val="0"/>
          <w:numId w:val="11"/>
        </w:numPr>
        <w:rPr>
          <w:rFonts w:ascii="Arial" w:hAnsi="Arial" w:cs="Arial"/>
          <w:sz w:val="20"/>
          <w:szCs w:val="20"/>
        </w:rPr>
      </w:pPr>
      <w:r w:rsidRPr="00367C86">
        <w:rPr>
          <w:rFonts w:ascii="Arial" w:hAnsi="Arial" w:cs="Arial"/>
          <w:sz w:val="20"/>
          <w:szCs w:val="20"/>
        </w:rPr>
        <w:t>Caractéristique qualitative </w:t>
      </w:r>
      <w:r w:rsidR="001B7C6F" w:rsidRPr="00367C86">
        <w:rPr>
          <w:rFonts w:ascii="Arial" w:hAnsi="Arial" w:cs="Arial"/>
          <w:sz w:val="20"/>
          <w:szCs w:val="20"/>
        </w:rPr>
        <w:t xml:space="preserve">liée à la nature des ondes </w:t>
      </w:r>
      <w:r w:rsidRPr="00367C86">
        <w:rPr>
          <w:rFonts w:ascii="Arial" w:hAnsi="Arial" w:cs="Arial"/>
          <w:sz w:val="20"/>
          <w:szCs w:val="20"/>
        </w:rPr>
        <w:t>:</w:t>
      </w:r>
      <w:r w:rsidR="008413F6" w:rsidRPr="00367C86">
        <w:rPr>
          <w:rFonts w:ascii="Arial" w:hAnsi="Arial" w:cs="Arial"/>
          <w:sz w:val="20"/>
          <w:szCs w:val="20"/>
        </w:rPr>
        <w:t xml:space="preserve"> </w:t>
      </w:r>
    </w:p>
    <w:p w:rsidR="008413F6" w:rsidRPr="00367C86" w:rsidRDefault="008413F6" w:rsidP="00367C86">
      <w:pPr>
        <w:rPr>
          <w:rFonts w:ascii="Arial" w:hAnsi="Arial" w:cs="Arial"/>
          <w:sz w:val="20"/>
          <w:szCs w:val="20"/>
        </w:rPr>
      </w:pPr>
    </w:p>
    <w:p w:rsidR="008413F6" w:rsidRPr="00367C86" w:rsidRDefault="008413F6" w:rsidP="00367C86">
      <w:pPr>
        <w:ind w:left="0" w:firstLine="0"/>
        <w:rPr>
          <w:rFonts w:ascii="Arial" w:hAnsi="Arial" w:cs="Arial"/>
          <w:sz w:val="20"/>
          <w:szCs w:val="20"/>
        </w:rPr>
      </w:pPr>
      <w:r w:rsidRPr="00367C86">
        <w:rPr>
          <w:rFonts w:ascii="Arial" w:hAnsi="Arial" w:cs="Arial"/>
          <w:sz w:val="20"/>
          <w:szCs w:val="20"/>
        </w:rPr>
        <w:t>Le générateur d’images de Chatgpt n’avait pas réussi à l</w:t>
      </w:r>
      <w:r w:rsidR="008637A8" w:rsidRPr="00367C86">
        <w:rPr>
          <w:rFonts w:ascii="Arial" w:hAnsi="Arial" w:cs="Arial"/>
          <w:sz w:val="20"/>
          <w:szCs w:val="20"/>
        </w:rPr>
        <w:t>e représenter</w:t>
      </w:r>
      <w:r w:rsidRPr="00367C86">
        <w:rPr>
          <w:rFonts w:ascii="Arial" w:hAnsi="Arial" w:cs="Arial"/>
          <w:sz w:val="20"/>
          <w:szCs w:val="20"/>
        </w:rPr>
        <w:t xml:space="preserve"> dans notre illustration du schéma d’exposition </w:t>
      </w:r>
      <w:r w:rsidR="00ED3C7A" w:rsidRPr="00367C86">
        <w:rPr>
          <w:rFonts w:ascii="Arial" w:hAnsi="Arial" w:cs="Arial"/>
          <w:sz w:val="20"/>
          <w:szCs w:val="20"/>
        </w:rPr>
        <w:t xml:space="preserve">mais </w:t>
      </w:r>
      <w:r w:rsidRPr="00367C86">
        <w:rPr>
          <w:rFonts w:ascii="Arial" w:hAnsi="Arial" w:cs="Arial"/>
          <w:sz w:val="20"/>
          <w:szCs w:val="20"/>
        </w:rPr>
        <w:t>c’est cependant un fait : les radiofréquences traversent les murs.</w:t>
      </w:r>
    </w:p>
    <w:p w:rsidR="008413F6" w:rsidRPr="00367C86" w:rsidRDefault="008413F6" w:rsidP="00367C86">
      <w:pPr>
        <w:ind w:left="0" w:firstLine="0"/>
        <w:rPr>
          <w:rFonts w:ascii="Arial" w:hAnsi="Arial" w:cs="Arial"/>
          <w:sz w:val="20"/>
          <w:szCs w:val="20"/>
        </w:rPr>
      </w:pPr>
    </w:p>
    <w:p w:rsidR="008413F6" w:rsidRPr="00367C86" w:rsidRDefault="008413F6" w:rsidP="00367C86">
      <w:pPr>
        <w:ind w:left="0" w:firstLine="0"/>
        <w:rPr>
          <w:rFonts w:ascii="Arial" w:hAnsi="Arial" w:cs="Arial"/>
          <w:sz w:val="20"/>
          <w:szCs w:val="20"/>
        </w:rPr>
      </w:pPr>
      <w:r w:rsidRPr="00367C86">
        <w:rPr>
          <w:rFonts w:ascii="Arial" w:hAnsi="Arial" w:cs="Arial"/>
          <w:sz w:val="20"/>
          <w:szCs w:val="20"/>
        </w:rPr>
        <w:t>S’il est possible de fermer ses fenêtres pour se protéger d’une pollution extérieure, de choisir les matériaux qui vont équiper notre logement pour limiter la pollution de l’air intérieur, de dépolluer les sols, de filtrer son eau, d’utiliser des rideaux occultants pour contrer la pollution lumineuse et de manger bi</w:t>
      </w:r>
      <w:r w:rsidR="008637A8" w:rsidRPr="00367C86">
        <w:rPr>
          <w:rFonts w:ascii="Arial" w:hAnsi="Arial" w:cs="Arial"/>
          <w:sz w:val="20"/>
          <w:szCs w:val="20"/>
        </w:rPr>
        <w:t xml:space="preserve">o pour éviter </w:t>
      </w:r>
      <w:r w:rsidRPr="00367C86">
        <w:rPr>
          <w:rFonts w:ascii="Arial" w:hAnsi="Arial" w:cs="Arial"/>
          <w:sz w:val="20"/>
          <w:szCs w:val="20"/>
        </w:rPr>
        <w:t xml:space="preserve">l’ingestion de pesticides, l’exposition électromagnétique, tout comme le bruit, est potentiellement une nuisance </w:t>
      </w:r>
      <w:r w:rsidR="00ED3C7A" w:rsidRPr="00367C86">
        <w:rPr>
          <w:rFonts w:ascii="Arial" w:hAnsi="Arial" w:cs="Arial"/>
          <w:sz w:val="20"/>
          <w:szCs w:val="20"/>
        </w:rPr>
        <w:t>qui ne connait pas les limites de chaque foyer. L</w:t>
      </w:r>
      <w:r w:rsidR="001B7C6F" w:rsidRPr="00367C86">
        <w:rPr>
          <w:rFonts w:ascii="Arial" w:hAnsi="Arial" w:cs="Arial"/>
          <w:sz w:val="20"/>
          <w:szCs w:val="20"/>
        </w:rPr>
        <w:t>es infrastructures ainsi que l</w:t>
      </w:r>
      <w:r w:rsidR="00ED3C7A" w:rsidRPr="00367C86">
        <w:rPr>
          <w:rFonts w:ascii="Arial" w:hAnsi="Arial" w:cs="Arial"/>
          <w:sz w:val="20"/>
          <w:szCs w:val="20"/>
        </w:rPr>
        <w:t>es u</w:t>
      </w:r>
      <w:r w:rsidR="001B7C6F" w:rsidRPr="00367C86">
        <w:rPr>
          <w:rFonts w:ascii="Arial" w:hAnsi="Arial" w:cs="Arial"/>
          <w:sz w:val="20"/>
          <w:szCs w:val="20"/>
        </w:rPr>
        <w:t>sages des uns et des autres contribuent ainsi à l’</w:t>
      </w:r>
      <w:r w:rsidR="00ED3C7A" w:rsidRPr="00367C86">
        <w:rPr>
          <w:rFonts w:ascii="Arial" w:hAnsi="Arial" w:cs="Arial"/>
          <w:sz w:val="20"/>
          <w:szCs w:val="20"/>
        </w:rPr>
        <w:t xml:space="preserve">électrosmog, exposition ambiante connaissant cependant des disparités géographiques, selon que l’on habite en ville ou en zone rurale, à proximité immédiate de voisins ou </w:t>
      </w:r>
      <w:r w:rsidR="001B7C6F" w:rsidRPr="00367C86">
        <w:rPr>
          <w:rFonts w:ascii="Arial" w:hAnsi="Arial" w:cs="Arial"/>
          <w:sz w:val="20"/>
          <w:szCs w:val="20"/>
        </w:rPr>
        <w:t xml:space="preserve">plus </w:t>
      </w:r>
      <w:r w:rsidR="00ED3C7A" w:rsidRPr="00367C86">
        <w:rPr>
          <w:rFonts w:ascii="Arial" w:hAnsi="Arial" w:cs="Arial"/>
          <w:sz w:val="20"/>
          <w:szCs w:val="20"/>
        </w:rPr>
        <w:t>à l’écart, dans une maison aux épais murs de pierre ou dans une construction en bois</w:t>
      </w:r>
      <w:r w:rsidR="00ED3C7A" w:rsidRPr="00367C86">
        <w:rPr>
          <w:rStyle w:val="Appelnotedebasdep"/>
          <w:rFonts w:ascii="Arial" w:hAnsi="Arial" w:cs="Arial"/>
          <w:sz w:val="20"/>
          <w:szCs w:val="20"/>
        </w:rPr>
        <w:footnoteReference w:id="51"/>
      </w:r>
      <w:r w:rsidR="00ED3C7A" w:rsidRPr="00367C86">
        <w:rPr>
          <w:rFonts w:ascii="Arial" w:hAnsi="Arial" w:cs="Arial"/>
          <w:sz w:val="20"/>
          <w:szCs w:val="20"/>
        </w:rPr>
        <w:t>.</w:t>
      </w:r>
    </w:p>
    <w:p w:rsidR="001B7C6F" w:rsidRPr="00367C86" w:rsidRDefault="001B7C6F" w:rsidP="00367C86">
      <w:pPr>
        <w:ind w:left="0" w:firstLine="0"/>
        <w:rPr>
          <w:rFonts w:ascii="Arial" w:hAnsi="Arial" w:cs="Arial"/>
          <w:sz w:val="20"/>
          <w:szCs w:val="20"/>
        </w:rPr>
      </w:pPr>
      <w:r w:rsidRPr="00367C86">
        <w:rPr>
          <w:rFonts w:ascii="Arial" w:hAnsi="Arial" w:cs="Arial"/>
          <w:sz w:val="20"/>
          <w:szCs w:val="20"/>
        </w:rPr>
        <w:t>Une atténuation des ondes est possible chez soi</w:t>
      </w:r>
      <w:r w:rsidR="008637A8" w:rsidRPr="00367C86">
        <w:rPr>
          <w:rFonts w:ascii="Arial" w:hAnsi="Arial" w:cs="Arial"/>
          <w:sz w:val="20"/>
          <w:szCs w:val="20"/>
        </w:rPr>
        <w:t xml:space="preserve">, </w:t>
      </w:r>
      <w:r w:rsidRPr="00367C86">
        <w:rPr>
          <w:rFonts w:ascii="Arial" w:hAnsi="Arial" w:cs="Arial"/>
          <w:sz w:val="20"/>
          <w:szCs w:val="20"/>
        </w:rPr>
        <w:t xml:space="preserve">via différents moyens, en </w:t>
      </w:r>
      <w:r w:rsidR="00EF6B9A" w:rsidRPr="00367C86">
        <w:rPr>
          <w:rFonts w:ascii="Arial" w:hAnsi="Arial" w:cs="Arial"/>
          <w:sz w:val="20"/>
          <w:szCs w:val="20"/>
        </w:rPr>
        <w:t xml:space="preserve">fonction des budgets, allant </w:t>
      </w:r>
      <w:r w:rsidRPr="00367C86">
        <w:rPr>
          <w:rFonts w:ascii="Arial" w:hAnsi="Arial" w:cs="Arial"/>
          <w:sz w:val="20"/>
          <w:szCs w:val="20"/>
        </w:rPr>
        <w:t xml:space="preserve">de la couverture de survie sur la fenêtre aux fenêtres à faible émissivité, du tissu anti-ondes formant un baldaquin autour du </w:t>
      </w:r>
      <w:r w:rsidR="00131D78" w:rsidRPr="00367C86">
        <w:rPr>
          <w:rFonts w:ascii="Arial" w:hAnsi="Arial" w:cs="Arial"/>
          <w:sz w:val="20"/>
          <w:szCs w:val="20"/>
        </w:rPr>
        <w:t>lit au blindage du domicile, entre autre</w:t>
      </w:r>
      <w:r w:rsidR="00EF6B9A" w:rsidRPr="00367C86">
        <w:rPr>
          <w:rFonts w:ascii="Arial" w:hAnsi="Arial" w:cs="Arial"/>
          <w:sz w:val="20"/>
          <w:szCs w:val="20"/>
        </w:rPr>
        <w:t>s</w:t>
      </w:r>
      <w:r w:rsidR="00131D78" w:rsidRPr="00367C86">
        <w:rPr>
          <w:rFonts w:ascii="Arial" w:hAnsi="Arial" w:cs="Arial"/>
          <w:sz w:val="20"/>
          <w:szCs w:val="20"/>
        </w:rPr>
        <w:t>,</w:t>
      </w:r>
      <w:r w:rsidRPr="00367C86">
        <w:rPr>
          <w:rFonts w:ascii="Arial" w:hAnsi="Arial" w:cs="Arial"/>
          <w:sz w:val="20"/>
          <w:szCs w:val="20"/>
        </w:rPr>
        <w:t xml:space="preserve"> mais atténuer ne veut pas dire annuler et l’on ne peut</w:t>
      </w:r>
      <w:r w:rsidR="008637A8" w:rsidRPr="00367C86">
        <w:rPr>
          <w:rFonts w:ascii="Arial" w:hAnsi="Arial" w:cs="Arial"/>
          <w:sz w:val="20"/>
          <w:szCs w:val="20"/>
        </w:rPr>
        <w:t xml:space="preserve"> pas vivre en restant calfeutré</w:t>
      </w:r>
      <w:r w:rsidRPr="00367C86">
        <w:rPr>
          <w:rFonts w:ascii="Arial" w:hAnsi="Arial" w:cs="Arial"/>
          <w:sz w:val="20"/>
          <w:szCs w:val="20"/>
        </w:rPr>
        <w:t xml:space="preserve"> chez soi. Pour peu que de l’autre côté du mur contre lequel s’appuie notre tête de lit se trouv</w:t>
      </w:r>
      <w:r w:rsidR="00131D78" w:rsidRPr="00367C86">
        <w:rPr>
          <w:rFonts w:ascii="Arial" w:hAnsi="Arial" w:cs="Arial"/>
          <w:sz w:val="20"/>
          <w:szCs w:val="20"/>
        </w:rPr>
        <w:t>e un</w:t>
      </w:r>
      <w:r w:rsidR="008637A8" w:rsidRPr="00367C86">
        <w:rPr>
          <w:rFonts w:ascii="Arial" w:hAnsi="Arial" w:cs="Arial"/>
          <w:sz w:val="20"/>
          <w:szCs w:val="20"/>
        </w:rPr>
        <w:t xml:space="preserve"> meuble sur leque</w:t>
      </w:r>
      <w:r w:rsidR="00EF6B9A" w:rsidRPr="00367C86">
        <w:rPr>
          <w:rFonts w:ascii="Arial" w:hAnsi="Arial" w:cs="Arial"/>
          <w:sz w:val="20"/>
          <w:szCs w:val="20"/>
        </w:rPr>
        <w:t>l reposent une TV connectée en w</w:t>
      </w:r>
      <w:r w:rsidR="008637A8" w:rsidRPr="00367C86">
        <w:rPr>
          <w:rFonts w:ascii="Arial" w:hAnsi="Arial" w:cs="Arial"/>
          <w:sz w:val="20"/>
          <w:szCs w:val="20"/>
        </w:rPr>
        <w:t xml:space="preserve">ifi, </w:t>
      </w:r>
      <w:r w:rsidR="00131D78" w:rsidRPr="00367C86">
        <w:rPr>
          <w:rFonts w:ascii="Arial" w:hAnsi="Arial" w:cs="Arial"/>
          <w:sz w:val="20"/>
          <w:szCs w:val="20"/>
        </w:rPr>
        <w:t xml:space="preserve">une télécommande bluetooth, </w:t>
      </w:r>
      <w:r w:rsidR="008637A8" w:rsidRPr="00367C86">
        <w:rPr>
          <w:rFonts w:ascii="Arial" w:hAnsi="Arial" w:cs="Arial"/>
          <w:sz w:val="20"/>
          <w:szCs w:val="20"/>
        </w:rPr>
        <w:t>une box</w:t>
      </w:r>
      <w:r w:rsidR="00131D78" w:rsidRPr="00367C86">
        <w:rPr>
          <w:rFonts w:ascii="Arial" w:hAnsi="Arial" w:cs="Arial"/>
          <w:sz w:val="20"/>
          <w:szCs w:val="20"/>
        </w:rPr>
        <w:t xml:space="preserve"> en wifi</w:t>
      </w:r>
      <w:r w:rsidR="008637A8" w:rsidRPr="00367C86">
        <w:rPr>
          <w:rFonts w:ascii="Arial" w:hAnsi="Arial" w:cs="Arial"/>
          <w:sz w:val="20"/>
          <w:szCs w:val="20"/>
        </w:rPr>
        <w:t>, une console de jeux sans fil, une manette bluetooth et un</w:t>
      </w:r>
      <w:r w:rsidRPr="00367C86">
        <w:rPr>
          <w:rFonts w:ascii="Arial" w:hAnsi="Arial" w:cs="Arial"/>
          <w:sz w:val="20"/>
          <w:szCs w:val="20"/>
        </w:rPr>
        <w:t xml:space="preserve"> téléphone DECT…</w:t>
      </w:r>
      <w:r w:rsidR="008637A8" w:rsidRPr="00367C86">
        <w:rPr>
          <w:rFonts w:ascii="Arial" w:hAnsi="Arial" w:cs="Arial"/>
          <w:sz w:val="20"/>
          <w:szCs w:val="20"/>
        </w:rPr>
        <w:t>mais moins</w:t>
      </w:r>
      <w:r w:rsidRPr="00367C86">
        <w:rPr>
          <w:rFonts w:ascii="Arial" w:hAnsi="Arial" w:cs="Arial"/>
          <w:sz w:val="20"/>
          <w:szCs w:val="20"/>
        </w:rPr>
        <w:t xml:space="preserve"> de proximité n’</w:t>
      </w:r>
      <w:r w:rsidR="008637A8" w:rsidRPr="00367C86">
        <w:rPr>
          <w:rFonts w:ascii="Arial" w:hAnsi="Arial" w:cs="Arial"/>
          <w:sz w:val="20"/>
          <w:szCs w:val="20"/>
        </w:rPr>
        <w:t xml:space="preserve">est pas gage de sommeil </w:t>
      </w:r>
      <w:r w:rsidRPr="00367C86">
        <w:rPr>
          <w:rFonts w:ascii="Arial" w:hAnsi="Arial" w:cs="Arial"/>
          <w:sz w:val="20"/>
          <w:szCs w:val="20"/>
        </w:rPr>
        <w:t>et étonnons</w:t>
      </w:r>
      <w:r w:rsidR="00131D78" w:rsidRPr="00367C86">
        <w:rPr>
          <w:rFonts w:ascii="Arial" w:hAnsi="Arial" w:cs="Arial"/>
          <w:sz w:val="20"/>
          <w:szCs w:val="20"/>
        </w:rPr>
        <w:t>-nous</w:t>
      </w:r>
      <w:r w:rsidRPr="00367C86">
        <w:rPr>
          <w:rFonts w:ascii="Arial" w:hAnsi="Arial" w:cs="Arial"/>
          <w:sz w:val="20"/>
          <w:szCs w:val="20"/>
        </w:rPr>
        <w:t xml:space="preserve"> ensemble des portées des dif</w:t>
      </w:r>
      <w:r w:rsidR="008637A8" w:rsidRPr="00367C86">
        <w:rPr>
          <w:rFonts w:ascii="Arial" w:hAnsi="Arial" w:cs="Arial"/>
          <w:sz w:val="20"/>
          <w:szCs w:val="20"/>
        </w:rPr>
        <w:t>férentes technologies sans fil (cf.annexe 14).</w:t>
      </w:r>
    </w:p>
    <w:p w:rsidR="00ED3C7A" w:rsidRPr="00367C86" w:rsidRDefault="00ED3C7A" w:rsidP="00367C86">
      <w:pPr>
        <w:ind w:left="0" w:firstLine="0"/>
        <w:rPr>
          <w:rFonts w:ascii="Arial" w:hAnsi="Arial" w:cs="Arial"/>
          <w:sz w:val="20"/>
          <w:szCs w:val="20"/>
        </w:rPr>
      </w:pPr>
    </w:p>
    <w:p w:rsidR="007E14F5" w:rsidRPr="00367C86" w:rsidRDefault="008441ED" w:rsidP="00367C86">
      <w:pPr>
        <w:ind w:left="0" w:firstLine="0"/>
        <w:rPr>
          <w:rFonts w:ascii="Arial" w:hAnsi="Arial" w:cs="Arial"/>
          <w:sz w:val="20"/>
          <w:szCs w:val="20"/>
        </w:rPr>
      </w:pPr>
      <w:r w:rsidRPr="00367C86">
        <w:rPr>
          <w:rFonts w:ascii="Arial" w:hAnsi="Arial" w:cs="Arial"/>
          <w:sz w:val="20"/>
          <w:szCs w:val="20"/>
        </w:rPr>
        <w:t>P</w:t>
      </w:r>
      <w:r w:rsidR="00504E80" w:rsidRPr="00367C86">
        <w:rPr>
          <w:rFonts w:ascii="Arial" w:hAnsi="Arial" w:cs="Arial"/>
          <w:sz w:val="20"/>
          <w:szCs w:val="20"/>
        </w:rPr>
        <w:t>our évaluer l’impact sur la</w:t>
      </w:r>
      <w:r w:rsidR="007E14F5" w:rsidRPr="00367C86">
        <w:rPr>
          <w:rFonts w:ascii="Arial" w:hAnsi="Arial" w:cs="Arial"/>
          <w:sz w:val="20"/>
          <w:szCs w:val="20"/>
        </w:rPr>
        <w:t xml:space="preserve"> santé des technologies sans-fil, </w:t>
      </w:r>
      <w:r w:rsidRPr="00367C86">
        <w:rPr>
          <w:rFonts w:ascii="Arial" w:hAnsi="Arial" w:cs="Arial"/>
          <w:sz w:val="20"/>
          <w:szCs w:val="20"/>
        </w:rPr>
        <w:t xml:space="preserve">la science aujourd’hui </w:t>
      </w:r>
      <w:r w:rsidR="007E14F5" w:rsidRPr="00367C86">
        <w:rPr>
          <w:rFonts w:ascii="Arial" w:hAnsi="Arial" w:cs="Arial"/>
          <w:sz w:val="20"/>
          <w:szCs w:val="20"/>
        </w:rPr>
        <w:t>se tro</w:t>
      </w:r>
      <w:r w:rsidR="005D5205" w:rsidRPr="00367C86">
        <w:rPr>
          <w:rFonts w:ascii="Arial" w:hAnsi="Arial" w:cs="Arial"/>
          <w:sz w:val="20"/>
          <w:szCs w:val="20"/>
        </w:rPr>
        <w:t>uve ainsi confrontée à de nouveaux</w:t>
      </w:r>
      <w:r w:rsidR="007E14F5" w:rsidRPr="00367C86">
        <w:rPr>
          <w:rFonts w:ascii="Arial" w:hAnsi="Arial" w:cs="Arial"/>
          <w:sz w:val="20"/>
          <w:szCs w:val="20"/>
        </w:rPr>
        <w:t xml:space="preserve"> écueil</w:t>
      </w:r>
      <w:r w:rsidR="005D5205" w:rsidRPr="00367C86">
        <w:rPr>
          <w:rFonts w:ascii="Arial" w:hAnsi="Arial" w:cs="Arial"/>
          <w:sz w:val="20"/>
          <w:szCs w:val="20"/>
        </w:rPr>
        <w:t>s</w:t>
      </w:r>
      <w:r w:rsidR="007E14F5" w:rsidRPr="00367C86">
        <w:rPr>
          <w:rFonts w:ascii="Arial" w:hAnsi="Arial" w:cs="Arial"/>
          <w:sz w:val="20"/>
          <w:szCs w:val="20"/>
        </w:rPr>
        <w:t> :</w:t>
      </w:r>
    </w:p>
    <w:p w:rsidR="005B6DE3" w:rsidRPr="00367C86" w:rsidRDefault="005D5205" w:rsidP="009F3BB0">
      <w:pPr>
        <w:pStyle w:val="Paragraphedeliste"/>
        <w:numPr>
          <w:ilvl w:val="0"/>
          <w:numId w:val="4"/>
        </w:numPr>
        <w:rPr>
          <w:rFonts w:ascii="Arial" w:hAnsi="Arial" w:cs="Arial"/>
          <w:sz w:val="20"/>
          <w:szCs w:val="20"/>
        </w:rPr>
      </w:pPr>
      <w:r w:rsidRPr="00367C86">
        <w:rPr>
          <w:rFonts w:ascii="Arial" w:hAnsi="Arial" w:cs="Arial"/>
          <w:sz w:val="20"/>
          <w:szCs w:val="20"/>
        </w:rPr>
        <w:t>Du caractère « récent » du phénomène découle un</w:t>
      </w:r>
      <w:r w:rsidR="005B6DE3" w:rsidRPr="00367C86">
        <w:rPr>
          <w:rFonts w:ascii="Arial" w:hAnsi="Arial" w:cs="Arial"/>
          <w:sz w:val="20"/>
          <w:szCs w:val="20"/>
        </w:rPr>
        <w:t xml:space="preserve"> manque de recul </w:t>
      </w:r>
      <w:r w:rsidRPr="00367C86">
        <w:rPr>
          <w:rFonts w:ascii="Arial" w:hAnsi="Arial" w:cs="Arial"/>
          <w:sz w:val="20"/>
          <w:szCs w:val="20"/>
        </w:rPr>
        <w:t xml:space="preserve">temporel </w:t>
      </w:r>
      <w:r w:rsidR="005B6DE3" w:rsidRPr="00367C86">
        <w:rPr>
          <w:rFonts w:ascii="Arial" w:hAnsi="Arial" w:cs="Arial"/>
          <w:sz w:val="20"/>
          <w:szCs w:val="20"/>
        </w:rPr>
        <w:t>rend</w:t>
      </w:r>
      <w:r w:rsidRPr="00367C86">
        <w:rPr>
          <w:rFonts w:ascii="Arial" w:hAnsi="Arial" w:cs="Arial"/>
          <w:sz w:val="20"/>
          <w:szCs w:val="20"/>
        </w:rPr>
        <w:t>ant</w:t>
      </w:r>
      <w:r w:rsidR="005B6DE3" w:rsidRPr="00367C86">
        <w:rPr>
          <w:rFonts w:ascii="Arial" w:hAnsi="Arial" w:cs="Arial"/>
          <w:sz w:val="20"/>
          <w:szCs w:val="20"/>
        </w:rPr>
        <w:t xml:space="preserve"> potentiellement trop précoces d</w:t>
      </w:r>
      <w:r w:rsidR="00EF6B9A" w:rsidRPr="00367C86">
        <w:rPr>
          <w:rFonts w:ascii="Arial" w:hAnsi="Arial" w:cs="Arial"/>
          <w:sz w:val="20"/>
          <w:szCs w:val="20"/>
        </w:rPr>
        <w:t>es conclusions épidémiologiques en population générale (excepté, possiblement, sur des riverains d’antennes ?),</w:t>
      </w:r>
    </w:p>
    <w:p w:rsidR="007E14F5" w:rsidRPr="00367C86" w:rsidRDefault="005D5205" w:rsidP="009F3BB0">
      <w:pPr>
        <w:pStyle w:val="Paragraphedeliste"/>
        <w:numPr>
          <w:ilvl w:val="0"/>
          <w:numId w:val="3"/>
        </w:numPr>
        <w:rPr>
          <w:rFonts w:ascii="Arial" w:hAnsi="Arial" w:cs="Arial"/>
          <w:sz w:val="20"/>
          <w:szCs w:val="20"/>
        </w:rPr>
      </w:pPr>
      <w:r w:rsidRPr="00367C86">
        <w:rPr>
          <w:rFonts w:ascii="Arial" w:hAnsi="Arial" w:cs="Arial"/>
          <w:sz w:val="20"/>
          <w:szCs w:val="20"/>
        </w:rPr>
        <w:t>De la généralisation de l’exposition aux ondes des technologies sans fil (partout, tout le temps, tout le monde</w:t>
      </w:r>
      <w:r w:rsidR="00EF6B9A" w:rsidRPr="00367C86">
        <w:rPr>
          <w:rFonts w:ascii="Arial" w:hAnsi="Arial" w:cs="Arial"/>
          <w:sz w:val="20"/>
          <w:szCs w:val="20"/>
        </w:rPr>
        <w:t>, dès la vie intra-utérine</w:t>
      </w:r>
      <w:r w:rsidRPr="00367C86">
        <w:rPr>
          <w:rFonts w:ascii="Arial" w:hAnsi="Arial" w:cs="Arial"/>
          <w:sz w:val="20"/>
          <w:szCs w:val="20"/>
        </w:rPr>
        <w:t xml:space="preserve">) découle </w:t>
      </w:r>
      <w:r w:rsidR="00EF6B9A" w:rsidRPr="00367C86">
        <w:rPr>
          <w:rFonts w:ascii="Arial" w:hAnsi="Arial" w:cs="Arial"/>
          <w:sz w:val="20"/>
          <w:szCs w:val="20"/>
        </w:rPr>
        <w:t>l</w:t>
      </w:r>
      <w:r w:rsidR="007E14F5" w:rsidRPr="00367C86">
        <w:rPr>
          <w:rFonts w:ascii="Arial" w:hAnsi="Arial" w:cs="Arial"/>
          <w:sz w:val="20"/>
          <w:szCs w:val="20"/>
        </w:rPr>
        <w:t>a disparition progressive de personnes non-exposées, c'est-à-dire la disparition d’u</w:t>
      </w:r>
      <w:r w:rsidR="00BE5344" w:rsidRPr="00367C86">
        <w:rPr>
          <w:rFonts w:ascii="Arial" w:hAnsi="Arial" w:cs="Arial"/>
          <w:sz w:val="20"/>
          <w:szCs w:val="20"/>
        </w:rPr>
        <w:t>n groupe-contrôle (comment alors évaluer le Risque Relatif ?)</w:t>
      </w:r>
    </w:p>
    <w:p w:rsidR="005D5205" w:rsidRPr="00367C86" w:rsidRDefault="005D5205" w:rsidP="009F3BB0">
      <w:pPr>
        <w:pStyle w:val="Paragraphedeliste"/>
        <w:numPr>
          <w:ilvl w:val="0"/>
          <w:numId w:val="3"/>
        </w:numPr>
        <w:rPr>
          <w:rFonts w:ascii="Arial" w:hAnsi="Arial" w:cs="Arial"/>
          <w:sz w:val="20"/>
          <w:szCs w:val="20"/>
        </w:rPr>
      </w:pPr>
      <w:r w:rsidRPr="00367C86">
        <w:rPr>
          <w:rFonts w:ascii="Arial" w:hAnsi="Arial" w:cs="Arial"/>
          <w:sz w:val="20"/>
          <w:szCs w:val="20"/>
        </w:rPr>
        <w:t>L’évolution rapide des technologies</w:t>
      </w:r>
      <w:r w:rsidR="005B6DE3" w:rsidRPr="00367C86">
        <w:rPr>
          <w:rFonts w:ascii="Arial" w:hAnsi="Arial" w:cs="Arial"/>
          <w:sz w:val="20"/>
          <w:szCs w:val="20"/>
        </w:rPr>
        <w:t xml:space="preserve"> (change</w:t>
      </w:r>
      <w:r w:rsidRPr="00367C86">
        <w:rPr>
          <w:rFonts w:ascii="Arial" w:hAnsi="Arial" w:cs="Arial"/>
          <w:sz w:val="20"/>
          <w:szCs w:val="20"/>
        </w:rPr>
        <w:t>me</w:t>
      </w:r>
      <w:r w:rsidR="00504E80" w:rsidRPr="00367C86">
        <w:rPr>
          <w:rFonts w:ascii="Arial" w:hAnsi="Arial" w:cs="Arial"/>
          <w:sz w:val="20"/>
          <w:szCs w:val="20"/>
        </w:rPr>
        <w:t>nt</w:t>
      </w:r>
      <w:r w:rsidRPr="00367C86">
        <w:rPr>
          <w:rFonts w:ascii="Arial" w:hAnsi="Arial" w:cs="Arial"/>
          <w:sz w:val="20"/>
          <w:szCs w:val="20"/>
        </w:rPr>
        <w:t>s</w:t>
      </w:r>
      <w:r w:rsidR="00504E80" w:rsidRPr="00367C86">
        <w:rPr>
          <w:rFonts w:ascii="Arial" w:hAnsi="Arial" w:cs="Arial"/>
          <w:sz w:val="20"/>
          <w:szCs w:val="20"/>
        </w:rPr>
        <w:t xml:space="preserve"> de fréquence</w:t>
      </w:r>
      <w:r w:rsidRPr="00367C86">
        <w:rPr>
          <w:rFonts w:ascii="Arial" w:hAnsi="Arial" w:cs="Arial"/>
          <w:sz w:val="20"/>
          <w:szCs w:val="20"/>
        </w:rPr>
        <w:t>s</w:t>
      </w:r>
      <w:r w:rsidR="00EF2828" w:rsidRPr="00367C86">
        <w:rPr>
          <w:rFonts w:ascii="Arial" w:hAnsi="Arial" w:cs="Arial"/>
          <w:sz w:val="20"/>
          <w:szCs w:val="20"/>
        </w:rPr>
        <w:t>, de modulation</w:t>
      </w:r>
      <w:r w:rsidR="00504E80" w:rsidRPr="00367C86">
        <w:rPr>
          <w:rFonts w:ascii="Arial" w:hAnsi="Arial" w:cs="Arial"/>
          <w:sz w:val="20"/>
          <w:szCs w:val="20"/>
        </w:rPr>
        <w:t xml:space="preserve"> et de nature</w:t>
      </w:r>
      <w:r w:rsidR="005B6DE3" w:rsidRPr="00367C86">
        <w:rPr>
          <w:rFonts w:ascii="Arial" w:hAnsi="Arial" w:cs="Arial"/>
          <w:sz w:val="20"/>
          <w:szCs w:val="20"/>
        </w:rPr>
        <w:t xml:space="preserve">) peut </w:t>
      </w:r>
      <w:r w:rsidR="00C02380" w:rsidRPr="00367C86">
        <w:rPr>
          <w:rFonts w:ascii="Arial" w:hAnsi="Arial" w:cs="Arial"/>
          <w:sz w:val="20"/>
          <w:szCs w:val="20"/>
        </w:rPr>
        <w:t>rendre difficile</w:t>
      </w:r>
      <w:r w:rsidR="007E14F5" w:rsidRPr="00367C86">
        <w:rPr>
          <w:rFonts w:ascii="Arial" w:hAnsi="Arial" w:cs="Arial"/>
          <w:sz w:val="20"/>
          <w:szCs w:val="20"/>
        </w:rPr>
        <w:t xml:space="preserve"> l’interprétat</w:t>
      </w:r>
      <w:r w:rsidR="00C02380" w:rsidRPr="00367C86">
        <w:rPr>
          <w:rFonts w:ascii="Arial" w:hAnsi="Arial" w:cs="Arial"/>
          <w:sz w:val="20"/>
          <w:szCs w:val="20"/>
        </w:rPr>
        <w:t>ion et l’exploitation d’études</w:t>
      </w:r>
      <w:r w:rsidR="007E14F5" w:rsidRPr="00367C86">
        <w:rPr>
          <w:rFonts w:ascii="Arial" w:hAnsi="Arial" w:cs="Arial"/>
          <w:sz w:val="20"/>
          <w:szCs w:val="20"/>
        </w:rPr>
        <w:t xml:space="preserve"> anciennes</w:t>
      </w:r>
      <w:r w:rsidR="00C02380" w:rsidRPr="00367C86">
        <w:rPr>
          <w:rFonts w:ascii="Arial" w:hAnsi="Arial" w:cs="Arial"/>
          <w:sz w:val="20"/>
          <w:szCs w:val="20"/>
        </w:rPr>
        <w:t xml:space="preserve"> (cas-témoins, notamment) </w:t>
      </w:r>
      <w:r w:rsidR="007E14F5" w:rsidRPr="00367C86">
        <w:rPr>
          <w:rFonts w:ascii="Arial" w:hAnsi="Arial" w:cs="Arial"/>
          <w:sz w:val="20"/>
          <w:szCs w:val="20"/>
        </w:rPr>
        <w:t xml:space="preserve">pour l’évaluation des </w:t>
      </w:r>
      <w:r w:rsidR="005B6DE3" w:rsidRPr="00367C86">
        <w:rPr>
          <w:rFonts w:ascii="Arial" w:hAnsi="Arial" w:cs="Arial"/>
          <w:sz w:val="20"/>
          <w:szCs w:val="20"/>
        </w:rPr>
        <w:t xml:space="preserve">effets liés aux </w:t>
      </w:r>
      <w:r w:rsidR="007E14F5" w:rsidRPr="00367C86">
        <w:rPr>
          <w:rFonts w:ascii="Arial" w:hAnsi="Arial" w:cs="Arial"/>
          <w:sz w:val="20"/>
          <w:szCs w:val="20"/>
        </w:rPr>
        <w:t>expositions actuelles</w:t>
      </w:r>
      <w:r w:rsidR="00C02380" w:rsidRPr="00367C86">
        <w:rPr>
          <w:rFonts w:ascii="Arial" w:hAnsi="Arial" w:cs="Arial"/>
          <w:sz w:val="20"/>
          <w:szCs w:val="20"/>
        </w:rPr>
        <w:t xml:space="preserve"> </w:t>
      </w:r>
      <w:r w:rsidR="007E14F5" w:rsidRPr="00367C86">
        <w:rPr>
          <w:rFonts w:ascii="Arial" w:hAnsi="Arial" w:cs="Arial"/>
          <w:sz w:val="20"/>
          <w:szCs w:val="20"/>
        </w:rPr>
        <w:t xml:space="preserve"> </w:t>
      </w:r>
    </w:p>
    <w:p w:rsidR="007E14F5" w:rsidRPr="00367C86" w:rsidRDefault="00C02380" w:rsidP="009F3BB0">
      <w:pPr>
        <w:pStyle w:val="Paragraphedeliste"/>
        <w:numPr>
          <w:ilvl w:val="0"/>
          <w:numId w:val="3"/>
        </w:numPr>
        <w:rPr>
          <w:rFonts w:ascii="Arial" w:hAnsi="Arial" w:cs="Arial"/>
          <w:sz w:val="20"/>
          <w:szCs w:val="20"/>
        </w:rPr>
      </w:pPr>
      <w:r w:rsidRPr="00367C86">
        <w:rPr>
          <w:rFonts w:ascii="Arial" w:hAnsi="Arial" w:cs="Arial"/>
          <w:sz w:val="20"/>
          <w:szCs w:val="20"/>
        </w:rPr>
        <w:t xml:space="preserve">Les </w:t>
      </w:r>
      <w:r w:rsidR="005D5205" w:rsidRPr="00367C86">
        <w:rPr>
          <w:rFonts w:ascii="Arial" w:hAnsi="Arial" w:cs="Arial"/>
          <w:sz w:val="20"/>
          <w:szCs w:val="20"/>
        </w:rPr>
        <w:t xml:space="preserve">conditions </w:t>
      </w:r>
      <w:r w:rsidR="007D32C7" w:rsidRPr="00367C86">
        <w:rPr>
          <w:rFonts w:ascii="Arial" w:hAnsi="Arial" w:cs="Arial"/>
          <w:sz w:val="20"/>
          <w:szCs w:val="20"/>
        </w:rPr>
        <w:t xml:space="preserve">d’exposition </w:t>
      </w:r>
      <w:r w:rsidR="007C6E62" w:rsidRPr="00367C86">
        <w:rPr>
          <w:rFonts w:ascii="Arial" w:hAnsi="Arial" w:cs="Arial"/>
          <w:sz w:val="20"/>
          <w:szCs w:val="20"/>
        </w:rPr>
        <w:t xml:space="preserve">réelles faites </w:t>
      </w:r>
      <w:r w:rsidR="005D5205" w:rsidRPr="00367C86">
        <w:rPr>
          <w:rFonts w:ascii="Arial" w:hAnsi="Arial" w:cs="Arial"/>
          <w:sz w:val="20"/>
          <w:szCs w:val="20"/>
        </w:rPr>
        <w:t xml:space="preserve">d’un cocktail d’expositions </w:t>
      </w:r>
      <w:r w:rsidR="007C6E62" w:rsidRPr="00367C86">
        <w:rPr>
          <w:rFonts w:ascii="Arial" w:hAnsi="Arial" w:cs="Arial"/>
          <w:sz w:val="20"/>
          <w:szCs w:val="20"/>
        </w:rPr>
        <w:t xml:space="preserve">à la fois « corps entier » et « locales », chroniques et aigües, </w:t>
      </w:r>
      <w:r w:rsidR="005D5205" w:rsidRPr="00367C86">
        <w:rPr>
          <w:rFonts w:ascii="Arial" w:hAnsi="Arial" w:cs="Arial"/>
          <w:sz w:val="20"/>
          <w:szCs w:val="20"/>
        </w:rPr>
        <w:t>à de multiples fréquences, créant un en</w:t>
      </w:r>
      <w:r w:rsidR="007D32C7" w:rsidRPr="00367C86">
        <w:rPr>
          <w:rFonts w:ascii="Arial" w:hAnsi="Arial" w:cs="Arial"/>
          <w:sz w:val="20"/>
          <w:szCs w:val="20"/>
        </w:rPr>
        <w:t>vironnement instable, mélange d’ambiance et d’</w:t>
      </w:r>
      <w:r w:rsidR="007C6E62" w:rsidRPr="00367C86">
        <w:rPr>
          <w:rFonts w:ascii="Arial" w:hAnsi="Arial" w:cs="Arial"/>
          <w:sz w:val="20"/>
          <w:szCs w:val="20"/>
        </w:rPr>
        <w:t xml:space="preserve">intermittence (voire d’intermittence ambiante, si cela peut être exprimé ainsi) ne pouvant être réduites à des moyennes </w:t>
      </w:r>
      <w:r w:rsidRPr="00367C86">
        <w:rPr>
          <w:rFonts w:ascii="Arial" w:hAnsi="Arial" w:cs="Arial"/>
          <w:sz w:val="20"/>
          <w:szCs w:val="20"/>
        </w:rPr>
        <w:t>sont difficiles à reproduire en laboratoire.</w:t>
      </w:r>
      <w:r w:rsidR="007C6E62" w:rsidRPr="00367C86">
        <w:rPr>
          <w:rFonts w:ascii="Arial" w:hAnsi="Arial" w:cs="Arial"/>
          <w:sz w:val="20"/>
          <w:szCs w:val="20"/>
        </w:rPr>
        <w:t xml:space="preserve"> D’où la confirmation de la nécessité d’un protocole standardisé prenant explicitement en compte les paramètres évoqués précédemment.</w:t>
      </w:r>
    </w:p>
    <w:p w:rsidR="007E14F5" w:rsidRPr="00367C86" w:rsidRDefault="007E14F5" w:rsidP="00367C86">
      <w:pPr>
        <w:ind w:left="0" w:firstLine="0"/>
        <w:rPr>
          <w:rFonts w:ascii="Arial" w:hAnsi="Arial" w:cs="Arial"/>
          <w:sz w:val="20"/>
          <w:szCs w:val="20"/>
        </w:rPr>
      </w:pPr>
    </w:p>
    <w:p w:rsidR="00CE0884" w:rsidRPr="00367C86" w:rsidRDefault="00CE0884" w:rsidP="00367C86">
      <w:pPr>
        <w:ind w:left="0" w:firstLine="0"/>
        <w:rPr>
          <w:rFonts w:ascii="Arial" w:hAnsi="Arial" w:cs="Arial"/>
          <w:sz w:val="20"/>
          <w:szCs w:val="20"/>
        </w:rPr>
      </w:pPr>
      <w:r w:rsidRPr="00367C86">
        <w:rPr>
          <w:rFonts w:ascii="Arial" w:hAnsi="Arial" w:cs="Arial"/>
          <w:sz w:val="20"/>
          <w:szCs w:val="20"/>
        </w:rPr>
        <w:t xml:space="preserve">Les technologies basées sur l’usage de radiofréquences représentent-elles un risque pour la santé ? </w:t>
      </w:r>
    </w:p>
    <w:p w:rsidR="00CE0884" w:rsidRPr="00367C86" w:rsidRDefault="00CE0884" w:rsidP="00367C86">
      <w:pPr>
        <w:ind w:left="0" w:firstLine="0"/>
        <w:rPr>
          <w:rFonts w:ascii="Arial" w:hAnsi="Arial" w:cs="Arial"/>
          <w:sz w:val="20"/>
          <w:szCs w:val="20"/>
        </w:rPr>
      </w:pPr>
      <w:r w:rsidRPr="00367C86">
        <w:rPr>
          <w:rFonts w:ascii="Arial" w:hAnsi="Arial" w:cs="Arial"/>
          <w:sz w:val="20"/>
          <w:szCs w:val="20"/>
        </w:rPr>
        <w:t>Qui dit risque, dit danger x exposition, sur un terrain présentant parfois des vulnérabilités. Nous avons examiné l’exposition, ses caractéristiques et proposé une approche méthodologique pour son évaluation. Il est plus que temps de nous pencher ensemble sur l’identification du dan</w:t>
      </w:r>
      <w:r w:rsidR="001C3855" w:rsidRPr="00367C86">
        <w:rPr>
          <w:rFonts w:ascii="Arial" w:hAnsi="Arial" w:cs="Arial"/>
          <w:sz w:val="20"/>
          <w:szCs w:val="20"/>
        </w:rPr>
        <w:t>ger, en l’état actuel des connaissances.</w:t>
      </w:r>
    </w:p>
    <w:p w:rsidR="00C02380" w:rsidRPr="00367C86" w:rsidRDefault="00B94159" w:rsidP="009F3BB0">
      <w:pPr>
        <w:pStyle w:val="Paragraphedeliste"/>
        <w:numPr>
          <w:ilvl w:val="0"/>
          <w:numId w:val="1"/>
        </w:numPr>
        <w:shd w:val="clear" w:color="auto" w:fill="FFFFFF"/>
        <w:spacing w:before="100" w:beforeAutospacing="1" w:after="100" w:afterAutospacing="1"/>
        <w:rPr>
          <w:rFonts w:ascii="Arial" w:eastAsia="Times New Roman" w:hAnsi="Arial" w:cs="Arial"/>
          <w:b/>
          <w:sz w:val="20"/>
          <w:szCs w:val="20"/>
          <w:lang w:eastAsia="fr-FR"/>
        </w:rPr>
      </w:pPr>
      <w:r w:rsidRPr="00367C86">
        <w:rPr>
          <w:rFonts w:ascii="Arial" w:eastAsia="Times New Roman" w:hAnsi="Arial" w:cs="Arial"/>
          <w:b/>
          <w:sz w:val="20"/>
          <w:szCs w:val="20"/>
          <w:lang w:eastAsia="fr-FR"/>
        </w:rPr>
        <w:t>Etat des connaissances scientifiques actuelles  sur les effets biologiques des technologies sans fil</w:t>
      </w:r>
    </w:p>
    <w:p w:rsidR="00E24FEA" w:rsidRPr="00367C86" w:rsidRDefault="00E24FEA" w:rsidP="00367C86">
      <w:pPr>
        <w:pStyle w:val="Paragraphedeliste"/>
        <w:spacing w:after="200"/>
        <w:ind w:left="0" w:firstLine="0"/>
        <w:rPr>
          <w:rFonts w:ascii="Arial" w:hAnsi="Arial" w:cs="Arial"/>
          <w:sz w:val="20"/>
          <w:szCs w:val="20"/>
        </w:rPr>
      </w:pPr>
    </w:p>
    <w:p w:rsidR="006B794B" w:rsidRPr="00367C86" w:rsidRDefault="006B794B" w:rsidP="00367C86">
      <w:pPr>
        <w:pStyle w:val="Paragraphedeliste"/>
        <w:spacing w:after="200"/>
        <w:ind w:left="0" w:firstLine="0"/>
        <w:rPr>
          <w:rFonts w:ascii="Arial" w:hAnsi="Arial" w:cs="Arial"/>
          <w:sz w:val="20"/>
          <w:szCs w:val="20"/>
        </w:rPr>
      </w:pPr>
      <w:r w:rsidRPr="00367C86">
        <w:rPr>
          <w:rFonts w:ascii="Arial" w:hAnsi="Arial" w:cs="Arial"/>
          <w:sz w:val="20"/>
          <w:szCs w:val="20"/>
        </w:rPr>
        <w:t>Face à l’explosion mondiale de maladies chroniques (diabète, maladies cardiovasculaires, cancer, allergies, pour ne nommer que celles-ci), l’hypothèse d’un lien avec l’exposition environnementale suscite un intérêt croissant parm</w:t>
      </w:r>
      <w:r w:rsidR="00E24FEA" w:rsidRPr="00367C86">
        <w:rPr>
          <w:rFonts w:ascii="Arial" w:hAnsi="Arial" w:cs="Arial"/>
          <w:sz w:val="20"/>
          <w:szCs w:val="20"/>
        </w:rPr>
        <w:t>i les chercheurs</w:t>
      </w:r>
      <w:r w:rsidRPr="00367C86">
        <w:rPr>
          <w:rFonts w:ascii="Arial" w:hAnsi="Arial" w:cs="Arial"/>
          <w:sz w:val="20"/>
          <w:szCs w:val="20"/>
        </w:rPr>
        <w:t>. C’est dans ce contexte qu’a émergé la notion de « maladie idiopathique</w:t>
      </w:r>
      <w:r w:rsidR="004004D6" w:rsidRPr="00367C86">
        <w:rPr>
          <w:rStyle w:val="Appelnotedebasdep"/>
          <w:rFonts w:ascii="Arial" w:hAnsi="Arial" w:cs="Arial"/>
          <w:sz w:val="20"/>
          <w:szCs w:val="20"/>
        </w:rPr>
        <w:footnoteReference w:id="52"/>
      </w:r>
      <w:r w:rsidRPr="00367C86">
        <w:rPr>
          <w:rFonts w:ascii="Arial" w:hAnsi="Arial" w:cs="Arial"/>
          <w:sz w:val="20"/>
          <w:szCs w:val="20"/>
        </w:rPr>
        <w:t xml:space="preserve"> </w:t>
      </w:r>
      <w:r w:rsidRPr="00367C86">
        <w:rPr>
          <w:rFonts w:ascii="Arial" w:hAnsi="Arial" w:cs="Arial"/>
          <w:sz w:val="20"/>
          <w:szCs w:val="20"/>
        </w:rPr>
        <w:lastRenderedPageBreak/>
        <w:t xml:space="preserve">environnementale », avec une forte présomption de lien de causalité avec l’état de notre environnement, bien que les mécanismes d’action ne soient pas encore clairement </w:t>
      </w:r>
      <w:r w:rsidR="00E24FEA" w:rsidRPr="00367C86">
        <w:rPr>
          <w:rFonts w:ascii="Arial" w:hAnsi="Arial" w:cs="Arial"/>
          <w:sz w:val="20"/>
          <w:szCs w:val="20"/>
        </w:rPr>
        <w:t>établis de manière consensuelle.</w:t>
      </w:r>
    </w:p>
    <w:p w:rsidR="004030F0" w:rsidRPr="00367C86" w:rsidRDefault="004030F0" w:rsidP="00367C86">
      <w:pPr>
        <w:shd w:val="clear" w:color="auto" w:fill="FFFFFF"/>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Compte-tenu de l’ampleur de l’</w:t>
      </w:r>
      <w:r w:rsidR="00E24FEA" w:rsidRPr="00367C86">
        <w:rPr>
          <w:rFonts w:ascii="Arial" w:eastAsia="Times New Roman" w:hAnsi="Arial" w:cs="Arial"/>
          <w:sz w:val="20"/>
          <w:szCs w:val="20"/>
          <w:lang w:eastAsia="fr-FR"/>
        </w:rPr>
        <w:t>exposition aux radiofréquences et des caractéristiques attachées au phénomène des technologies sans-fil</w:t>
      </w:r>
      <w:r w:rsidR="00685F91" w:rsidRPr="00367C86">
        <w:rPr>
          <w:rFonts w:ascii="Arial" w:eastAsia="Times New Roman" w:hAnsi="Arial" w:cs="Arial"/>
          <w:sz w:val="20"/>
          <w:szCs w:val="20"/>
          <w:lang w:eastAsia="fr-FR"/>
        </w:rPr>
        <w:t>, comme vu précédemment</w:t>
      </w:r>
      <w:r w:rsidR="00E24FEA" w:rsidRPr="00367C86">
        <w:rPr>
          <w:rFonts w:ascii="Arial" w:eastAsia="Times New Roman" w:hAnsi="Arial" w:cs="Arial"/>
          <w:sz w:val="20"/>
          <w:szCs w:val="20"/>
          <w:lang w:eastAsia="fr-FR"/>
        </w:rPr>
        <w:t>, la question de leurs</w:t>
      </w:r>
      <w:r w:rsidRPr="00367C86">
        <w:rPr>
          <w:rFonts w:ascii="Arial" w:eastAsia="Times New Roman" w:hAnsi="Arial" w:cs="Arial"/>
          <w:sz w:val="20"/>
          <w:szCs w:val="20"/>
          <w:lang w:eastAsia="fr-FR"/>
        </w:rPr>
        <w:t xml:space="preserve"> effets biologiques s’intensifie </w:t>
      </w:r>
      <w:r w:rsidR="00E24FEA" w:rsidRPr="00367C86">
        <w:rPr>
          <w:rFonts w:ascii="Arial" w:eastAsia="Times New Roman" w:hAnsi="Arial" w:cs="Arial"/>
          <w:sz w:val="20"/>
          <w:szCs w:val="20"/>
          <w:lang w:eastAsia="fr-FR"/>
        </w:rPr>
        <w:t xml:space="preserve">également </w:t>
      </w:r>
      <w:r w:rsidRPr="00367C86">
        <w:rPr>
          <w:rFonts w:ascii="Arial" w:eastAsia="Times New Roman" w:hAnsi="Arial" w:cs="Arial"/>
          <w:sz w:val="20"/>
          <w:szCs w:val="20"/>
          <w:lang w:eastAsia="fr-FR"/>
        </w:rPr>
        <w:t>depuis plusieurs années, mobilisant des équipes de chercheurs</w:t>
      </w:r>
      <w:r w:rsidR="00E24FEA" w:rsidRPr="00367C86">
        <w:rPr>
          <w:rFonts w:ascii="Arial" w:eastAsia="Times New Roman" w:hAnsi="Arial" w:cs="Arial"/>
          <w:sz w:val="20"/>
          <w:szCs w:val="20"/>
          <w:lang w:eastAsia="fr-FR"/>
        </w:rPr>
        <w:t xml:space="preserve"> du monde entier</w:t>
      </w:r>
      <w:r w:rsidR="00685F91" w:rsidRPr="00367C86">
        <w:rPr>
          <w:rFonts w:ascii="Arial" w:eastAsia="Times New Roman" w:hAnsi="Arial" w:cs="Arial"/>
          <w:sz w:val="20"/>
          <w:szCs w:val="20"/>
          <w:lang w:eastAsia="fr-FR"/>
        </w:rPr>
        <w:t xml:space="preserve"> </w:t>
      </w:r>
      <w:r w:rsidR="00685F91" w:rsidRPr="00367C86">
        <w:rPr>
          <w:rFonts w:ascii="Arial" w:hAnsi="Arial" w:cs="Arial"/>
          <w:sz w:val="20"/>
          <w:szCs w:val="20"/>
        </w:rPr>
        <w:t>(annexe 15)</w:t>
      </w:r>
      <w:r w:rsidR="00E24FEA" w:rsidRPr="00367C86">
        <w:rPr>
          <w:rFonts w:ascii="Arial" w:eastAsia="Times New Roman" w:hAnsi="Arial" w:cs="Arial"/>
          <w:sz w:val="20"/>
          <w:szCs w:val="20"/>
          <w:lang w:eastAsia="fr-FR"/>
        </w:rPr>
        <w:t>.</w:t>
      </w:r>
    </w:p>
    <w:p w:rsidR="00CE0884" w:rsidRPr="00367C86" w:rsidRDefault="00CE0884" w:rsidP="00367C86">
      <w:pPr>
        <w:shd w:val="clear" w:color="auto" w:fill="FFFFFF"/>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 xml:space="preserve">Nous allons </w:t>
      </w:r>
      <w:r w:rsidR="00E24FEA" w:rsidRPr="00367C86">
        <w:rPr>
          <w:rFonts w:ascii="Arial" w:eastAsia="Times New Roman" w:hAnsi="Arial" w:cs="Arial"/>
          <w:sz w:val="20"/>
          <w:szCs w:val="20"/>
          <w:lang w:eastAsia="fr-FR"/>
        </w:rPr>
        <w:t xml:space="preserve">donc </w:t>
      </w:r>
      <w:r w:rsidRPr="00367C86">
        <w:rPr>
          <w:rFonts w:ascii="Arial" w:eastAsia="Times New Roman" w:hAnsi="Arial" w:cs="Arial"/>
          <w:sz w:val="20"/>
          <w:szCs w:val="20"/>
          <w:lang w:eastAsia="fr-FR"/>
        </w:rPr>
        <w:t>maintenant aborder l’état actuel des connaissances de la science, ou plutôt des sciences : tout d’abord celle des laboratoires de recherche, académique, et dans un deuxième temps celle qui, à partir de revues collectives de littérature scientifique produit les avis sur lesquels s’appuient les décideurs politiques, à savoir la science réglementaire.</w:t>
      </w:r>
    </w:p>
    <w:p w:rsidR="0077770F" w:rsidRPr="00367C86" w:rsidRDefault="0077770F" w:rsidP="00367C86">
      <w:pPr>
        <w:shd w:val="clear" w:color="auto" w:fill="FFFFFF"/>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 xml:space="preserve">Les effets biologiques des radiofréquences sont communément classés en deux catégories : les effets thermiques et les effets non-thermiques (dits également « athermiques »). </w:t>
      </w:r>
    </w:p>
    <w:p w:rsidR="0077770F" w:rsidRPr="00367C86" w:rsidRDefault="00A108EA" w:rsidP="00367C86">
      <w:pPr>
        <w:shd w:val="clear" w:color="auto" w:fill="FFFFFF"/>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 xml:space="preserve">Les effets thermiques, à court terme donc plus facilement observables, consistent </w:t>
      </w:r>
      <w:r w:rsidR="00552BBA" w:rsidRPr="00367C86">
        <w:rPr>
          <w:rFonts w:ascii="Arial" w:eastAsia="Times New Roman" w:hAnsi="Arial" w:cs="Arial"/>
          <w:sz w:val="20"/>
          <w:szCs w:val="20"/>
          <w:lang w:eastAsia="fr-FR"/>
        </w:rPr>
        <w:t xml:space="preserve">en un échauffement des tissus biologiques </w:t>
      </w:r>
      <w:r w:rsidRPr="00367C86">
        <w:rPr>
          <w:rFonts w:ascii="Arial" w:eastAsia="Times New Roman" w:hAnsi="Arial" w:cs="Arial"/>
          <w:sz w:val="20"/>
          <w:szCs w:val="20"/>
          <w:lang w:eastAsia="fr-FR"/>
        </w:rPr>
        <w:t xml:space="preserve">expliqué par la forte teneur en eau des organismes vivants ainsi que par l’absorption par les tissus d’une partie de l’énergie rayonnée. Pour l’évaluation de l’augmentation de la température, les paramètres pris habituellement en compte sont : la fréquence employée, la puissance et la durée d’exposition (soit les 3 premiers paramètres de notre tableau en annexe 9). </w:t>
      </w:r>
      <w:r w:rsidR="0077770F" w:rsidRPr="00367C86">
        <w:rPr>
          <w:rFonts w:ascii="Arial" w:eastAsia="Times New Roman" w:hAnsi="Arial" w:cs="Arial"/>
          <w:sz w:val="20"/>
          <w:szCs w:val="20"/>
          <w:lang w:eastAsia="fr-FR"/>
        </w:rPr>
        <w:t xml:space="preserve">Bien </w:t>
      </w:r>
      <w:r w:rsidR="00685F91" w:rsidRPr="00367C86">
        <w:rPr>
          <w:rFonts w:ascii="Arial" w:eastAsia="Times New Roman" w:hAnsi="Arial" w:cs="Arial"/>
          <w:sz w:val="20"/>
          <w:szCs w:val="20"/>
          <w:lang w:eastAsia="fr-FR"/>
        </w:rPr>
        <w:t>documentés et reconnus</w:t>
      </w:r>
      <w:r w:rsidRPr="00367C86">
        <w:rPr>
          <w:rFonts w:ascii="Arial" w:eastAsia="Times New Roman" w:hAnsi="Arial" w:cs="Arial"/>
          <w:sz w:val="20"/>
          <w:szCs w:val="20"/>
          <w:lang w:eastAsia="fr-FR"/>
        </w:rPr>
        <w:t xml:space="preserve">, c’est </w:t>
      </w:r>
      <w:r w:rsidR="00552BBA" w:rsidRPr="00367C86">
        <w:rPr>
          <w:rFonts w:ascii="Arial" w:eastAsia="Times New Roman" w:hAnsi="Arial" w:cs="Arial"/>
          <w:sz w:val="20"/>
          <w:szCs w:val="20"/>
          <w:lang w:eastAsia="fr-FR"/>
        </w:rPr>
        <w:t xml:space="preserve">exclusivement </w:t>
      </w:r>
      <w:r w:rsidRPr="00367C86">
        <w:rPr>
          <w:rFonts w:ascii="Arial" w:eastAsia="Times New Roman" w:hAnsi="Arial" w:cs="Arial"/>
          <w:sz w:val="20"/>
          <w:szCs w:val="20"/>
          <w:lang w:eastAsia="fr-FR"/>
        </w:rPr>
        <w:t xml:space="preserve">sur la base de ces </w:t>
      </w:r>
      <w:r w:rsidR="0077770F" w:rsidRPr="00367C86">
        <w:rPr>
          <w:rFonts w:ascii="Arial" w:eastAsia="Times New Roman" w:hAnsi="Arial" w:cs="Arial"/>
          <w:sz w:val="20"/>
          <w:szCs w:val="20"/>
          <w:lang w:eastAsia="fr-FR"/>
        </w:rPr>
        <w:t>effets thermiqu</w:t>
      </w:r>
      <w:r w:rsidRPr="00367C86">
        <w:rPr>
          <w:rFonts w:ascii="Arial" w:eastAsia="Times New Roman" w:hAnsi="Arial" w:cs="Arial"/>
          <w:sz w:val="20"/>
          <w:szCs w:val="20"/>
          <w:lang w:eastAsia="fr-FR"/>
        </w:rPr>
        <w:t>es que sont déterminées</w:t>
      </w:r>
      <w:r w:rsidR="0077770F" w:rsidRPr="00367C86">
        <w:rPr>
          <w:rFonts w:ascii="Arial" w:eastAsia="Times New Roman" w:hAnsi="Arial" w:cs="Arial"/>
          <w:sz w:val="20"/>
          <w:szCs w:val="20"/>
          <w:lang w:eastAsia="fr-FR"/>
        </w:rPr>
        <w:t xml:space="preserve"> de</w:t>
      </w:r>
      <w:r w:rsidRPr="00367C86">
        <w:rPr>
          <w:rFonts w:ascii="Arial" w:eastAsia="Times New Roman" w:hAnsi="Arial" w:cs="Arial"/>
          <w:sz w:val="20"/>
          <w:szCs w:val="20"/>
          <w:lang w:eastAsia="fr-FR"/>
        </w:rPr>
        <w:t>s valeurs-guides internationales, recommandations non-contraignantes mais très suivies</w:t>
      </w:r>
      <w:r w:rsidR="00552BBA" w:rsidRPr="00367C86">
        <w:rPr>
          <w:rFonts w:ascii="Arial" w:eastAsia="Times New Roman" w:hAnsi="Arial" w:cs="Arial"/>
          <w:sz w:val="20"/>
          <w:szCs w:val="20"/>
          <w:lang w:eastAsia="fr-FR"/>
        </w:rPr>
        <w:t>,</w:t>
      </w:r>
      <w:r w:rsidRPr="00367C86">
        <w:rPr>
          <w:rFonts w:ascii="Arial" w:eastAsia="Times New Roman" w:hAnsi="Arial" w:cs="Arial"/>
          <w:sz w:val="20"/>
          <w:szCs w:val="20"/>
          <w:lang w:eastAsia="fr-FR"/>
        </w:rPr>
        <w:t xml:space="preserve"> qui </w:t>
      </w:r>
      <w:r w:rsidR="00552BBA" w:rsidRPr="00367C86">
        <w:rPr>
          <w:rFonts w:ascii="Arial" w:eastAsia="Times New Roman" w:hAnsi="Arial" w:cs="Arial"/>
          <w:sz w:val="20"/>
          <w:szCs w:val="20"/>
          <w:lang w:eastAsia="fr-FR"/>
        </w:rPr>
        <w:t xml:space="preserve">sont prises comme référence par les pouvoirs publics de </w:t>
      </w:r>
      <w:r w:rsidRPr="00367C86">
        <w:rPr>
          <w:rFonts w:ascii="Arial" w:eastAsia="Times New Roman" w:hAnsi="Arial" w:cs="Arial"/>
          <w:sz w:val="20"/>
          <w:szCs w:val="20"/>
          <w:lang w:eastAsia="fr-FR"/>
        </w:rPr>
        <w:t>bien des pays</w:t>
      </w:r>
      <w:r w:rsidR="00552BBA" w:rsidRPr="00367C86">
        <w:rPr>
          <w:rFonts w:ascii="Arial" w:eastAsia="Times New Roman" w:hAnsi="Arial" w:cs="Arial"/>
          <w:sz w:val="20"/>
          <w:szCs w:val="20"/>
          <w:lang w:eastAsia="fr-FR"/>
        </w:rPr>
        <w:t xml:space="preserve"> </w:t>
      </w:r>
      <w:r w:rsidRPr="00367C86">
        <w:rPr>
          <w:rFonts w:ascii="Arial" w:eastAsia="Times New Roman" w:hAnsi="Arial" w:cs="Arial"/>
          <w:sz w:val="20"/>
          <w:szCs w:val="20"/>
          <w:lang w:eastAsia="fr-FR"/>
        </w:rPr>
        <w:t xml:space="preserve">pour l’établissement de valeurs-limites (ou </w:t>
      </w:r>
      <w:r w:rsidR="0077770F" w:rsidRPr="00367C86">
        <w:rPr>
          <w:rFonts w:ascii="Arial" w:eastAsia="Times New Roman" w:hAnsi="Arial" w:cs="Arial"/>
          <w:sz w:val="20"/>
          <w:szCs w:val="20"/>
          <w:lang w:eastAsia="fr-FR"/>
        </w:rPr>
        <w:t>seuils d’exposition</w:t>
      </w:r>
      <w:r w:rsidR="00552BBA" w:rsidRPr="00367C86">
        <w:rPr>
          <w:rFonts w:ascii="Arial" w:eastAsia="Times New Roman" w:hAnsi="Arial" w:cs="Arial"/>
          <w:sz w:val="20"/>
          <w:szCs w:val="20"/>
          <w:lang w:eastAsia="fr-FR"/>
        </w:rPr>
        <w:t>)</w:t>
      </w:r>
      <w:r w:rsidR="00F6638D" w:rsidRPr="00367C86">
        <w:rPr>
          <w:rFonts w:ascii="Arial" w:eastAsia="Times New Roman" w:hAnsi="Arial" w:cs="Arial"/>
          <w:sz w:val="20"/>
          <w:szCs w:val="20"/>
          <w:lang w:eastAsia="fr-FR"/>
        </w:rPr>
        <w:t>, nous y reviendrons dans la dernière partie</w:t>
      </w:r>
      <w:r w:rsidR="005765FB" w:rsidRPr="00367C86">
        <w:rPr>
          <w:rFonts w:ascii="Arial" w:eastAsia="Times New Roman" w:hAnsi="Arial" w:cs="Arial"/>
          <w:sz w:val="20"/>
          <w:szCs w:val="20"/>
          <w:lang w:eastAsia="fr-FR"/>
        </w:rPr>
        <w:t xml:space="preserve">. </w:t>
      </w:r>
    </w:p>
    <w:p w:rsidR="0077770F" w:rsidRPr="00367C86" w:rsidRDefault="0077770F" w:rsidP="00367C86">
      <w:pPr>
        <w:shd w:val="clear" w:color="auto" w:fill="FFFFFF"/>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Les effets athermiques</w:t>
      </w:r>
      <w:r w:rsidR="00552BBA" w:rsidRPr="00367C86">
        <w:rPr>
          <w:rFonts w:ascii="Arial" w:eastAsia="Times New Roman" w:hAnsi="Arial" w:cs="Arial"/>
          <w:sz w:val="20"/>
          <w:szCs w:val="20"/>
          <w:lang w:eastAsia="fr-FR"/>
        </w:rPr>
        <w:t xml:space="preserve">, </w:t>
      </w:r>
      <w:r w:rsidR="005765FB" w:rsidRPr="00367C86">
        <w:rPr>
          <w:rFonts w:ascii="Arial" w:eastAsia="Times New Roman" w:hAnsi="Arial" w:cs="Arial"/>
          <w:sz w:val="20"/>
          <w:szCs w:val="20"/>
          <w:lang w:eastAsia="fr-FR"/>
        </w:rPr>
        <w:t>sans observation d’une élévation d</w:t>
      </w:r>
      <w:r w:rsidR="00552BBA" w:rsidRPr="00367C86">
        <w:rPr>
          <w:rFonts w:ascii="Arial" w:eastAsia="Times New Roman" w:hAnsi="Arial" w:cs="Arial"/>
          <w:sz w:val="20"/>
          <w:szCs w:val="20"/>
          <w:lang w:eastAsia="fr-FR"/>
        </w:rPr>
        <w:t>e la température</w:t>
      </w:r>
      <w:r w:rsidR="005765FB" w:rsidRPr="00367C86">
        <w:rPr>
          <w:rFonts w:ascii="Arial" w:eastAsia="Times New Roman" w:hAnsi="Arial" w:cs="Arial"/>
          <w:sz w:val="20"/>
          <w:szCs w:val="20"/>
          <w:lang w:eastAsia="fr-FR"/>
        </w:rPr>
        <w:t xml:space="preserve">, </w:t>
      </w:r>
      <w:r w:rsidRPr="00367C86">
        <w:rPr>
          <w:rFonts w:ascii="Arial" w:eastAsia="Times New Roman" w:hAnsi="Arial" w:cs="Arial"/>
          <w:sz w:val="20"/>
          <w:szCs w:val="20"/>
          <w:lang w:eastAsia="fr-FR"/>
        </w:rPr>
        <w:t xml:space="preserve">sont </w:t>
      </w:r>
      <w:r w:rsidR="001C3855" w:rsidRPr="00367C86">
        <w:rPr>
          <w:rFonts w:ascii="Arial" w:eastAsia="Times New Roman" w:hAnsi="Arial" w:cs="Arial"/>
          <w:sz w:val="20"/>
          <w:szCs w:val="20"/>
          <w:lang w:eastAsia="fr-FR"/>
        </w:rPr>
        <w:t xml:space="preserve">quant à eux </w:t>
      </w:r>
      <w:r w:rsidRPr="00367C86">
        <w:rPr>
          <w:rFonts w:ascii="Arial" w:eastAsia="Times New Roman" w:hAnsi="Arial" w:cs="Arial"/>
          <w:sz w:val="20"/>
          <w:szCs w:val="20"/>
          <w:lang w:eastAsia="fr-FR"/>
        </w:rPr>
        <w:t xml:space="preserve">au cœur de controverses : </w:t>
      </w:r>
      <w:r w:rsidR="001C3855" w:rsidRPr="00367C86">
        <w:rPr>
          <w:rFonts w:ascii="Arial" w:eastAsia="Times New Roman" w:hAnsi="Arial" w:cs="Arial"/>
          <w:sz w:val="20"/>
          <w:szCs w:val="20"/>
          <w:lang w:eastAsia="fr-FR"/>
        </w:rPr>
        <w:t>c’</w:t>
      </w:r>
      <w:r w:rsidR="00E24FEA" w:rsidRPr="00367C86">
        <w:rPr>
          <w:rFonts w:ascii="Arial" w:eastAsia="Times New Roman" w:hAnsi="Arial" w:cs="Arial"/>
          <w:sz w:val="20"/>
          <w:szCs w:val="20"/>
          <w:lang w:eastAsia="fr-FR"/>
        </w:rPr>
        <w:t xml:space="preserve">est </w:t>
      </w:r>
      <w:r w:rsidR="001C3855" w:rsidRPr="00367C86">
        <w:rPr>
          <w:rFonts w:ascii="Arial" w:eastAsia="Times New Roman" w:hAnsi="Arial" w:cs="Arial"/>
          <w:sz w:val="20"/>
          <w:szCs w:val="20"/>
          <w:lang w:eastAsia="fr-FR"/>
        </w:rPr>
        <w:t xml:space="preserve">sur eux que nous allons </w:t>
      </w:r>
      <w:r w:rsidRPr="00367C86">
        <w:rPr>
          <w:rFonts w:ascii="Arial" w:eastAsia="Times New Roman" w:hAnsi="Arial" w:cs="Arial"/>
          <w:sz w:val="20"/>
          <w:szCs w:val="20"/>
          <w:lang w:eastAsia="fr-FR"/>
        </w:rPr>
        <w:t xml:space="preserve">plus longuement </w:t>
      </w:r>
      <w:r w:rsidR="001C3855" w:rsidRPr="00367C86">
        <w:rPr>
          <w:rFonts w:ascii="Arial" w:eastAsia="Times New Roman" w:hAnsi="Arial" w:cs="Arial"/>
          <w:sz w:val="20"/>
          <w:szCs w:val="20"/>
          <w:lang w:eastAsia="fr-FR"/>
        </w:rPr>
        <w:t>nous pencher.</w:t>
      </w:r>
    </w:p>
    <w:p w:rsidR="00B94159" w:rsidRPr="00367C86" w:rsidRDefault="0077770F" w:rsidP="009F3BB0">
      <w:pPr>
        <w:pStyle w:val="Paragraphedeliste"/>
        <w:numPr>
          <w:ilvl w:val="0"/>
          <w:numId w:val="16"/>
        </w:numPr>
        <w:shd w:val="clear" w:color="auto" w:fill="FFFFFF"/>
        <w:spacing w:before="100" w:beforeAutospacing="1" w:after="100" w:afterAutospacing="1"/>
        <w:ind w:left="709" w:hanging="283"/>
        <w:rPr>
          <w:rFonts w:ascii="Arial" w:eastAsia="Times New Roman" w:hAnsi="Arial" w:cs="Arial"/>
          <w:sz w:val="20"/>
          <w:szCs w:val="20"/>
          <w:lang w:eastAsia="fr-FR"/>
        </w:rPr>
      </w:pPr>
      <w:r w:rsidRPr="00367C86">
        <w:rPr>
          <w:rFonts w:ascii="Arial" w:eastAsia="Times New Roman" w:hAnsi="Arial" w:cs="Arial"/>
          <w:sz w:val="20"/>
          <w:szCs w:val="20"/>
          <w:u w:val="single"/>
          <w:lang w:eastAsia="fr-FR"/>
        </w:rPr>
        <w:t>Effets athermiques ; c</w:t>
      </w:r>
      <w:r w:rsidR="00B94159" w:rsidRPr="00367C86">
        <w:rPr>
          <w:rFonts w:ascii="Arial" w:eastAsia="Times New Roman" w:hAnsi="Arial" w:cs="Arial"/>
          <w:sz w:val="20"/>
          <w:szCs w:val="20"/>
          <w:u w:val="single"/>
          <w:lang w:eastAsia="fr-FR"/>
        </w:rPr>
        <w:t>e qu’en dit la science académique</w:t>
      </w:r>
      <w:r w:rsidR="00B94159" w:rsidRPr="00367C86">
        <w:rPr>
          <w:rFonts w:ascii="Arial" w:eastAsia="Times New Roman" w:hAnsi="Arial" w:cs="Arial"/>
          <w:sz w:val="20"/>
          <w:szCs w:val="20"/>
          <w:lang w:eastAsia="fr-FR"/>
        </w:rPr>
        <w:t xml:space="preserve"> : </w:t>
      </w:r>
    </w:p>
    <w:p w:rsidR="0077770F" w:rsidRPr="00367C86" w:rsidRDefault="0077770F" w:rsidP="00367C86">
      <w:pPr>
        <w:pStyle w:val="Paragraphedeliste"/>
        <w:shd w:val="clear" w:color="auto" w:fill="FFFFFF"/>
        <w:spacing w:before="100" w:beforeAutospacing="1" w:after="100" w:afterAutospacing="1"/>
        <w:ind w:left="426" w:firstLine="0"/>
        <w:rPr>
          <w:rFonts w:ascii="Arial" w:eastAsia="Times New Roman" w:hAnsi="Arial" w:cs="Arial"/>
          <w:sz w:val="20"/>
          <w:szCs w:val="20"/>
          <w:lang w:eastAsia="fr-FR"/>
        </w:rPr>
      </w:pPr>
    </w:p>
    <w:p w:rsidR="0077770F" w:rsidRPr="00367C86" w:rsidRDefault="004004D6" w:rsidP="00367C86">
      <w:pPr>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Les effets biologiques athermiques étudiés</w:t>
      </w:r>
      <w:r w:rsidR="005D04EA" w:rsidRPr="00367C86">
        <w:rPr>
          <w:rFonts w:ascii="Arial" w:eastAsia="Times New Roman" w:hAnsi="Arial" w:cs="Arial"/>
          <w:sz w:val="20"/>
          <w:szCs w:val="20"/>
          <w:lang w:eastAsia="fr-FR"/>
        </w:rPr>
        <w:t>, parce que suspectés d’effets biologiques à long terme,</w:t>
      </w:r>
      <w:r w:rsidRPr="00367C86">
        <w:rPr>
          <w:rFonts w:ascii="Arial" w:eastAsia="Times New Roman" w:hAnsi="Arial" w:cs="Arial"/>
          <w:sz w:val="20"/>
          <w:szCs w:val="20"/>
          <w:lang w:eastAsia="fr-FR"/>
        </w:rPr>
        <w:t xml:space="preserve"> sont nombreux (annexe 16). </w:t>
      </w:r>
      <w:r w:rsidR="0077770F" w:rsidRPr="00367C86">
        <w:rPr>
          <w:rFonts w:ascii="Arial" w:eastAsia="Times New Roman" w:hAnsi="Arial" w:cs="Arial"/>
          <w:sz w:val="20"/>
          <w:szCs w:val="20"/>
          <w:lang w:eastAsia="fr-FR"/>
        </w:rPr>
        <w:t>Face à l’ampleur de la tâche de recensement de c</w:t>
      </w:r>
      <w:r w:rsidR="005D04EA" w:rsidRPr="00367C86">
        <w:rPr>
          <w:rFonts w:ascii="Arial" w:eastAsia="Times New Roman" w:hAnsi="Arial" w:cs="Arial"/>
          <w:sz w:val="20"/>
          <w:szCs w:val="20"/>
          <w:lang w:eastAsia="fr-FR"/>
        </w:rPr>
        <w:t>es études</w:t>
      </w:r>
      <w:r w:rsidRPr="00367C86">
        <w:rPr>
          <w:rFonts w:ascii="Arial" w:eastAsia="Times New Roman" w:hAnsi="Arial" w:cs="Arial"/>
          <w:sz w:val="20"/>
          <w:szCs w:val="20"/>
          <w:lang w:eastAsia="fr-FR"/>
        </w:rPr>
        <w:t xml:space="preserve"> et aux limites de taille d</w:t>
      </w:r>
      <w:r w:rsidR="009F39C5" w:rsidRPr="00367C86">
        <w:rPr>
          <w:rFonts w:ascii="Arial" w:eastAsia="Times New Roman" w:hAnsi="Arial" w:cs="Arial"/>
          <w:sz w:val="20"/>
          <w:szCs w:val="20"/>
          <w:lang w:eastAsia="fr-FR"/>
        </w:rPr>
        <w:t xml:space="preserve">e ce mémoire, je vais devoir me limiter à quelques études qui m’ont semblé </w:t>
      </w:r>
      <w:r w:rsidR="0077770F" w:rsidRPr="00367C86">
        <w:rPr>
          <w:rFonts w:ascii="Arial" w:eastAsia="Times New Roman" w:hAnsi="Arial" w:cs="Arial"/>
          <w:sz w:val="20"/>
          <w:szCs w:val="20"/>
          <w:lang w:eastAsia="fr-FR"/>
        </w:rPr>
        <w:t xml:space="preserve">significatives </w:t>
      </w:r>
      <w:r w:rsidR="009F39C5" w:rsidRPr="00367C86">
        <w:rPr>
          <w:rFonts w:ascii="Arial" w:eastAsia="Times New Roman" w:hAnsi="Arial" w:cs="Arial"/>
          <w:sz w:val="20"/>
          <w:szCs w:val="20"/>
          <w:lang w:eastAsia="fr-FR"/>
        </w:rPr>
        <w:t>tout en faisant parfois un pas du côté de</w:t>
      </w:r>
      <w:r w:rsidR="0077770F" w:rsidRPr="00367C86">
        <w:rPr>
          <w:rFonts w:ascii="Arial" w:eastAsia="Times New Roman" w:hAnsi="Arial" w:cs="Arial"/>
          <w:sz w:val="20"/>
          <w:szCs w:val="20"/>
          <w:lang w:eastAsia="fr-FR"/>
        </w:rPr>
        <w:t xml:space="preserve"> chercheurs travaillant de longue date sur le sujet, sans oublier le savoir des géants</w:t>
      </w:r>
      <w:r w:rsidR="0077770F" w:rsidRPr="00367C86">
        <w:rPr>
          <w:rStyle w:val="Appelnotedebasdep"/>
          <w:rFonts w:ascii="Arial" w:eastAsia="Times New Roman" w:hAnsi="Arial" w:cs="Arial"/>
          <w:sz w:val="20"/>
          <w:szCs w:val="20"/>
          <w:lang w:eastAsia="fr-FR"/>
        </w:rPr>
        <w:footnoteReference w:id="53"/>
      </w:r>
      <w:r w:rsidR="0077770F" w:rsidRPr="00367C86">
        <w:rPr>
          <w:rFonts w:ascii="Arial" w:eastAsia="Times New Roman" w:hAnsi="Arial" w:cs="Arial"/>
          <w:sz w:val="20"/>
          <w:szCs w:val="20"/>
          <w:lang w:eastAsia="fr-FR"/>
        </w:rPr>
        <w:t>.</w:t>
      </w:r>
      <w:r w:rsidR="00516E00" w:rsidRPr="00367C86">
        <w:rPr>
          <w:rFonts w:ascii="Arial" w:eastAsia="Times New Roman" w:hAnsi="Arial" w:cs="Arial"/>
          <w:sz w:val="20"/>
          <w:szCs w:val="20"/>
          <w:lang w:eastAsia="fr-FR"/>
        </w:rPr>
        <w:t xml:space="preserve"> A noter : il est</w:t>
      </w:r>
      <w:r w:rsidR="00516E00" w:rsidRPr="00367C86">
        <w:rPr>
          <w:rStyle w:val="relative"/>
          <w:rFonts w:ascii="Arial" w:hAnsi="Arial" w:cs="Arial"/>
          <w:sz w:val="20"/>
          <w:szCs w:val="20"/>
        </w:rPr>
        <w:t xml:space="preserve"> intéressant de constater qu’en sus d’études primaires hétérogènes et aux niveaux de preuves variables, de plus en plus de revues systématiques de littérature sont menées dans ce domaine, souffrant malheureusement de façon tautologique de la faiblesse des études primaires</w:t>
      </w:r>
      <w:r w:rsidR="000D6127" w:rsidRPr="00367C86">
        <w:rPr>
          <w:rStyle w:val="relative"/>
          <w:rFonts w:ascii="Arial" w:hAnsi="Arial" w:cs="Arial"/>
          <w:sz w:val="20"/>
          <w:szCs w:val="20"/>
        </w:rPr>
        <w:t>.</w:t>
      </w:r>
    </w:p>
    <w:p w:rsidR="009F39C5" w:rsidRPr="00367C86" w:rsidRDefault="009F39C5" w:rsidP="00367C86">
      <w:pPr>
        <w:spacing w:before="100" w:beforeAutospacing="1" w:after="100" w:afterAutospacing="1"/>
        <w:ind w:left="0" w:firstLine="0"/>
        <w:rPr>
          <w:rFonts w:ascii="Arial" w:hAnsi="Arial" w:cs="Arial"/>
          <w:sz w:val="20"/>
          <w:szCs w:val="20"/>
        </w:rPr>
      </w:pPr>
      <w:r w:rsidRPr="00367C86">
        <w:rPr>
          <w:rFonts w:ascii="Arial" w:eastAsia="Times New Roman" w:hAnsi="Arial" w:cs="Arial"/>
          <w:sz w:val="20"/>
          <w:szCs w:val="20"/>
          <w:lang w:eastAsia="fr-FR"/>
        </w:rPr>
        <w:t>Des nombreuses études passées en revue, nous pouvons extraire un certain nombre d'</w:t>
      </w:r>
      <w:r w:rsidR="00D51FCD" w:rsidRPr="00367C86">
        <w:rPr>
          <w:rFonts w:ascii="Arial" w:eastAsia="Times New Roman" w:hAnsi="Arial" w:cs="Arial"/>
          <w:sz w:val="20"/>
          <w:szCs w:val="20"/>
          <w:lang w:eastAsia="fr-FR"/>
        </w:rPr>
        <w:t xml:space="preserve">orientations car quelques </w:t>
      </w:r>
      <w:r w:rsidR="00D51FCD" w:rsidRPr="00367C86">
        <w:rPr>
          <w:rStyle w:val="relative"/>
          <w:rFonts w:ascii="Arial" w:hAnsi="Arial" w:cs="Arial"/>
          <w:sz w:val="20"/>
          <w:szCs w:val="20"/>
        </w:rPr>
        <w:t xml:space="preserve">effets </w:t>
      </w:r>
      <w:r w:rsidR="000D6127" w:rsidRPr="00367C86">
        <w:rPr>
          <w:rStyle w:val="relative"/>
          <w:rFonts w:ascii="Arial" w:hAnsi="Arial" w:cs="Arial"/>
          <w:sz w:val="20"/>
          <w:szCs w:val="20"/>
        </w:rPr>
        <w:t>semblent pouvoir</w:t>
      </w:r>
      <w:r w:rsidR="00D51FCD" w:rsidRPr="00367C86">
        <w:rPr>
          <w:rStyle w:val="relative"/>
          <w:rFonts w:ascii="Arial" w:hAnsi="Arial" w:cs="Arial"/>
          <w:sz w:val="20"/>
          <w:szCs w:val="20"/>
        </w:rPr>
        <w:t xml:space="preserve"> être identifiés comme faisant particulièrement l’objet d’attention :</w:t>
      </w:r>
    </w:p>
    <w:p w:rsidR="00516E00" w:rsidRPr="00367C86" w:rsidRDefault="000D6127" w:rsidP="009F3BB0">
      <w:pPr>
        <w:pStyle w:val="Paragraphedeliste"/>
        <w:numPr>
          <w:ilvl w:val="0"/>
          <w:numId w:val="17"/>
        </w:numPr>
        <w:spacing w:before="100" w:beforeAutospacing="1" w:after="100" w:afterAutospacing="1"/>
        <w:ind w:left="2127"/>
        <w:rPr>
          <w:rStyle w:val="relative"/>
          <w:rFonts w:ascii="Arial" w:hAnsi="Arial" w:cs="Arial"/>
          <w:sz w:val="20"/>
          <w:szCs w:val="20"/>
        </w:rPr>
      </w:pPr>
      <w:r w:rsidRPr="00367C86">
        <w:rPr>
          <w:rStyle w:val="relative"/>
          <w:rFonts w:ascii="Arial" w:hAnsi="Arial" w:cs="Arial"/>
          <w:sz w:val="20"/>
          <w:szCs w:val="20"/>
        </w:rPr>
        <w:t>Deux études relevant de l’a</w:t>
      </w:r>
      <w:r w:rsidR="00516E00" w:rsidRPr="00367C86">
        <w:rPr>
          <w:rStyle w:val="relative"/>
          <w:rFonts w:ascii="Arial" w:hAnsi="Arial" w:cs="Arial"/>
          <w:sz w:val="20"/>
          <w:szCs w:val="20"/>
        </w:rPr>
        <w:t>pproche omique :</w:t>
      </w:r>
    </w:p>
    <w:p w:rsidR="00E2252F" w:rsidRPr="00367C86" w:rsidRDefault="00E2252F" w:rsidP="00367C86">
      <w:pPr>
        <w:spacing w:before="100" w:beforeAutospacing="1" w:after="100" w:afterAutospacing="1"/>
        <w:ind w:left="0" w:firstLine="0"/>
        <w:rPr>
          <w:rStyle w:val="relative"/>
          <w:rFonts w:ascii="Arial" w:hAnsi="Arial" w:cs="Arial"/>
          <w:sz w:val="20"/>
          <w:szCs w:val="20"/>
        </w:rPr>
      </w:pPr>
      <w:r w:rsidRPr="00367C86">
        <w:rPr>
          <w:rStyle w:val="relative"/>
          <w:rFonts w:ascii="Arial" w:hAnsi="Arial" w:cs="Arial"/>
          <w:sz w:val="20"/>
          <w:szCs w:val="20"/>
        </w:rPr>
        <w:t xml:space="preserve">Avec les moyens </w:t>
      </w:r>
      <w:r w:rsidR="004A7C97" w:rsidRPr="00367C86">
        <w:rPr>
          <w:rStyle w:val="relative"/>
          <w:rFonts w:ascii="Arial" w:hAnsi="Arial" w:cs="Arial"/>
          <w:sz w:val="20"/>
          <w:szCs w:val="20"/>
        </w:rPr>
        <w:t>techniques</w:t>
      </w:r>
      <w:r w:rsidR="000D6127" w:rsidRPr="00367C86">
        <w:rPr>
          <w:rStyle w:val="relative"/>
          <w:rFonts w:ascii="Arial" w:hAnsi="Arial" w:cs="Arial"/>
          <w:sz w:val="20"/>
          <w:szCs w:val="20"/>
        </w:rPr>
        <w:t xml:space="preserve"> dont elle dispose aujourd’hui</w:t>
      </w:r>
      <w:r w:rsidRPr="00367C86">
        <w:rPr>
          <w:rStyle w:val="relative"/>
          <w:rFonts w:ascii="Arial" w:hAnsi="Arial" w:cs="Arial"/>
          <w:sz w:val="20"/>
          <w:szCs w:val="20"/>
        </w:rPr>
        <w:t>, la toxicologie peut</w:t>
      </w:r>
      <w:r w:rsidR="000D6127" w:rsidRPr="00367C86">
        <w:rPr>
          <w:rStyle w:val="relative"/>
          <w:rFonts w:ascii="Arial" w:hAnsi="Arial" w:cs="Arial"/>
          <w:sz w:val="20"/>
          <w:szCs w:val="20"/>
        </w:rPr>
        <w:t xml:space="preserve"> désormais</w:t>
      </w:r>
      <w:r w:rsidRPr="00367C86">
        <w:rPr>
          <w:rStyle w:val="relative"/>
          <w:rFonts w:ascii="Arial" w:hAnsi="Arial" w:cs="Arial"/>
          <w:sz w:val="20"/>
          <w:szCs w:val="20"/>
        </w:rPr>
        <w:t xml:space="preserve"> </w:t>
      </w:r>
      <w:r w:rsidR="004A7C97" w:rsidRPr="00367C86">
        <w:rPr>
          <w:rStyle w:val="relative"/>
          <w:rFonts w:ascii="Arial" w:hAnsi="Arial" w:cs="Arial"/>
          <w:sz w:val="20"/>
          <w:szCs w:val="20"/>
        </w:rPr>
        <w:t xml:space="preserve">appréhender de façon globale et systémique l’impact d’un polluant sur le vivant, elle peut également identifier des biomarqueurs. </w:t>
      </w:r>
      <w:r w:rsidRPr="00367C86">
        <w:rPr>
          <w:rStyle w:val="relative"/>
          <w:rFonts w:ascii="Arial" w:hAnsi="Arial" w:cs="Arial"/>
          <w:sz w:val="20"/>
          <w:szCs w:val="20"/>
        </w:rPr>
        <w:t>Ainsi, les approches omiques</w:t>
      </w:r>
      <w:r w:rsidR="000D6127" w:rsidRPr="00367C86">
        <w:rPr>
          <w:rStyle w:val="relative"/>
          <w:rFonts w:ascii="Arial" w:hAnsi="Arial" w:cs="Arial"/>
          <w:sz w:val="20"/>
          <w:szCs w:val="20"/>
        </w:rPr>
        <w:t xml:space="preserve"> sont de plus en plus utilisées </w:t>
      </w:r>
      <w:r w:rsidR="00F6638D" w:rsidRPr="00367C86">
        <w:rPr>
          <w:rStyle w:val="relative"/>
          <w:rFonts w:ascii="Arial" w:hAnsi="Arial" w:cs="Arial"/>
          <w:sz w:val="20"/>
          <w:szCs w:val="20"/>
        </w:rPr>
        <w:t>pour analyser les effets biologiques des champs électromagnétiques</w:t>
      </w:r>
      <w:r w:rsidR="000D6127" w:rsidRPr="00367C86">
        <w:rPr>
          <w:rStyle w:val="relative"/>
          <w:rFonts w:ascii="Arial" w:hAnsi="Arial" w:cs="Arial"/>
          <w:sz w:val="20"/>
          <w:szCs w:val="20"/>
        </w:rPr>
        <w:t>, en voici deux pour exemple :</w:t>
      </w:r>
    </w:p>
    <w:p w:rsidR="00E2252F" w:rsidRPr="00367C86" w:rsidRDefault="008C20E6" w:rsidP="00367C86">
      <w:pPr>
        <w:spacing w:before="100" w:beforeAutospacing="1" w:after="100" w:afterAutospacing="1"/>
        <w:ind w:left="0" w:firstLine="0"/>
        <w:rPr>
          <w:rStyle w:val="relative"/>
          <w:rFonts w:ascii="Arial" w:hAnsi="Arial" w:cs="Arial"/>
          <w:sz w:val="20"/>
          <w:szCs w:val="20"/>
        </w:rPr>
      </w:pPr>
      <w:r w:rsidRPr="00367C86">
        <w:rPr>
          <w:rStyle w:val="relative"/>
          <w:rFonts w:ascii="Arial" w:hAnsi="Arial" w:cs="Arial"/>
          <w:sz w:val="20"/>
          <w:szCs w:val="20"/>
        </w:rPr>
        <w:t xml:space="preserve">. </w:t>
      </w:r>
      <w:r w:rsidR="00543168" w:rsidRPr="00367C86">
        <w:rPr>
          <w:rStyle w:val="relative"/>
          <w:rFonts w:ascii="Arial" w:hAnsi="Arial" w:cs="Arial"/>
          <w:sz w:val="20"/>
          <w:szCs w:val="20"/>
        </w:rPr>
        <w:t>L’étude Rangesh et al. (2024) a observé les effets à court terme d’une exposition aux radiofré</w:t>
      </w:r>
      <w:r w:rsidR="00995192" w:rsidRPr="00367C86">
        <w:rPr>
          <w:rStyle w:val="relative"/>
          <w:rFonts w:ascii="Arial" w:hAnsi="Arial" w:cs="Arial"/>
          <w:sz w:val="20"/>
          <w:szCs w:val="20"/>
        </w:rPr>
        <w:t xml:space="preserve">quences : </w:t>
      </w:r>
      <w:r w:rsidR="00543168" w:rsidRPr="00367C86">
        <w:rPr>
          <w:rStyle w:val="relative"/>
          <w:rFonts w:ascii="Arial" w:hAnsi="Arial" w:cs="Arial"/>
          <w:sz w:val="20"/>
          <w:szCs w:val="20"/>
        </w:rPr>
        <w:t>pertur</w:t>
      </w:r>
      <w:r w:rsidR="004A7C97" w:rsidRPr="00367C86">
        <w:rPr>
          <w:rStyle w:val="relative"/>
          <w:rFonts w:ascii="Arial" w:hAnsi="Arial" w:cs="Arial"/>
          <w:sz w:val="20"/>
          <w:szCs w:val="20"/>
        </w:rPr>
        <w:t>bation de 29 métabolites dans les urines</w:t>
      </w:r>
      <w:r w:rsidR="00995192" w:rsidRPr="00367C86">
        <w:rPr>
          <w:rStyle w:val="relative"/>
          <w:rFonts w:ascii="Arial" w:hAnsi="Arial" w:cs="Arial"/>
          <w:sz w:val="20"/>
          <w:szCs w:val="20"/>
        </w:rPr>
        <w:t xml:space="preserve">, </w:t>
      </w:r>
      <w:r w:rsidR="00543168" w:rsidRPr="00367C86">
        <w:rPr>
          <w:rStyle w:val="relative"/>
          <w:rFonts w:ascii="Arial" w:hAnsi="Arial" w:cs="Arial"/>
          <w:sz w:val="20"/>
          <w:szCs w:val="20"/>
        </w:rPr>
        <w:t>altération du métabolisme du cycle</w:t>
      </w:r>
      <w:r w:rsidR="00995192" w:rsidRPr="00367C86">
        <w:rPr>
          <w:rStyle w:val="relative"/>
          <w:rFonts w:ascii="Arial" w:hAnsi="Arial" w:cs="Arial"/>
          <w:sz w:val="20"/>
          <w:szCs w:val="20"/>
        </w:rPr>
        <w:t xml:space="preserve"> de l'acide citrique (TCA), </w:t>
      </w:r>
      <w:r w:rsidR="00543168" w:rsidRPr="00367C86">
        <w:rPr>
          <w:rStyle w:val="relative"/>
          <w:rFonts w:ascii="Arial" w:hAnsi="Arial" w:cs="Arial"/>
          <w:sz w:val="20"/>
          <w:szCs w:val="20"/>
        </w:rPr>
        <w:t>association potentiell</w:t>
      </w:r>
      <w:r w:rsidR="00995192" w:rsidRPr="00367C86">
        <w:rPr>
          <w:rStyle w:val="relative"/>
          <w:rFonts w:ascii="Arial" w:hAnsi="Arial" w:cs="Arial"/>
          <w:sz w:val="20"/>
          <w:szCs w:val="20"/>
        </w:rPr>
        <w:t xml:space="preserve">e avec le stress oxydatif et </w:t>
      </w:r>
      <w:r w:rsidR="00543168" w:rsidRPr="00367C86">
        <w:rPr>
          <w:rStyle w:val="relative"/>
          <w:rFonts w:ascii="Arial" w:hAnsi="Arial" w:cs="Arial"/>
          <w:sz w:val="20"/>
          <w:szCs w:val="20"/>
        </w:rPr>
        <w:t>déséquilibre du mi</w:t>
      </w:r>
      <w:r w:rsidR="004A7C97" w:rsidRPr="00367C86">
        <w:rPr>
          <w:rStyle w:val="relative"/>
          <w:rFonts w:ascii="Arial" w:hAnsi="Arial" w:cs="Arial"/>
          <w:sz w:val="20"/>
          <w:szCs w:val="20"/>
        </w:rPr>
        <w:t>crobiote intestinal. Cependant, nous n’avons pas trouvé quelles fréquences ont été utilisées pour cette expérience</w:t>
      </w:r>
      <w:r w:rsidR="00E2252F" w:rsidRPr="00367C86">
        <w:rPr>
          <w:rStyle w:val="relative"/>
          <w:rFonts w:ascii="Arial" w:hAnsi="Arial" w:cs="Arial"/>
          <w:sz w:val="20"/>
          <w:szCs w:val="20"/>
        </w:rPr>
        <w:t>.</w:t>
      </w:r>
    </w:p>
    <w:p w:rsidR="00D51FCD" w:rsidRPr="00367C86" w:rsidRDefault="00995192" w:rsidP="00367C86">
      <w:pPr>
        <w:spacing w:before="100" w:beforeAutospacing="1" w:after="100" w:afterAutospacing="1"/>
        <w:ind w:left="0" w:firstLine="0"/>
        <w:rPr>
          <w:rFonts w:ascii="Arial" w:hAnsi="Arial" w:cs="Arial"/>
          <w:sz w:val="20"/>
          <w:szCs w:val="20"/>
        </w:rPr>
      </w:pPr>
      <w:r w:rsidRPr="00367C86">
        <w:rPr>
          <w:rStyle w:val="relative"/>
          <w:rFonts w:ascii="Arial" w:hAnsi="Arial" w:cs="Arial"/>
          <w:sz w:val="20"/>
          <w:szCs w:val="20"/>
        </w:rPr>
        <w:lastRenderedPageBreak/>
        <w:t>. L’oncologue Dominique Belpomme, notamment auteur d’un ouvrage</w:t>
      </w:r>
      <w:r w:rsidR="00E62E1B" w:rsidRPr="00367C86">
        <w:rPr>
          <w:rStyle w:val="Appelnotedebasdep"/>
          <w:rFonts w:ascii="Arial" w:hAnsi="Arial" w:cs="Arial"/>
          <w:sz w:val="20"/>
          <w:szCs w:val="20"/>
        </w:rPr>
        <w:footnoteReference w:id="54"/>
      </w:r>
      <w:r w:rsidRPr="00367C86">
        <w:rPr>
          <w:rStyle w:val="relative"/>
          <w:rFonts w:ascii="Arial" w:hAnsi="Arial" w:cs="Arial"/>
          <w:sz w:val="20"/>
          <w:szCs w:val="20"/>
        </w:rPr>
        <w:t xml:space="preserve"> sur l’émergence des maladies environnementales</w:t>
      </w:r>
      <w:r w:rsidR="000D6127" w:rsidRPr="00367C86">
        <w:rPr>
          <w:rStyle w:val="relative"/>
          <w:rFonts w:ascii="Arial" w:hAnsi="Arial" w:cs="Arial"/>
          <w:sz w:val="20"/>
          <w:szCs w:val="20"/>
        </w:rPr>
        <w:t xml:space="preserve"> idiopathiques</w:t>
      </w:r>
      <w:r w:rsidR="00106CDA" w:rsidRPr="00367C86">
        <w:rPr>
          <w:rStyle w:val="relative"/>
          <w:rFonts w:ascii="Arial" w:hAnsi="Arial" w:cs="Arial"/>
          <w:sz w:val="20"/>
          <w:szCs w:val="20"/>
        </w:rPr>
        <w:t>,</w:t>
      </w:r>
      <w:r w:rsidR="000D6127" w:rsidRPr="00367C86">
        <w:rPr>
          <w:rStyle w:val="relative"/>
          <w:rFonts w:ascii="Arial" w:hAnsi="Arial" w:cs="Arial"/>
          <w:sz w:val="20"/>
          <w:szCs w:val="20"/>
        </w:rPr>
        <w:t xml:space="preserve"> </w:t>
      </w:r>
      <w:r w:rsidRPr="00367C86">
        <w:rPr>
          <w:rStyle w:val="relative"/>
          <w:rFonts w:ascii="Arial" w:hAnsi="Arial" w:cs="Arial"/>
          <w:sz w:val="20"/>
          <w:szCs w:val="20"/>
        </w:rPr>
        <w:t>s’est spécialisé sur l</w:t>
      </w:r>
      <w:r w:rsidR="000D6127" w:rsidRPr="00367C86">
        <w:rPr>
          <w:rStyle w:val="relative"/>
          <w:rFonts w:ascii="Arial" w:hAnsi="Arial" w:cs="Arial"/>
          <w:sz w:val="20"/>
          <w:szCs w:val="20"/>
        </w:rPr>
        <w:t>’étude et le traitement de l</w:t>
      </w:r>
      <w:r w:rsidRPr="00367C86">
        <w:rPr>
          <w:rStyle w:val="relative"/>
          <w:rFonts w:ascii="Arial" w:hAnsi="Arial" w:cs="Arial"/>
          <w:sz w:val="20"/>
          <w:szCs w:val="20"/>
        </w:rPr>
        <w:t xml:space="preserve">a chimicosensibilité ainsi que </w:t>
      </w:r>
      <w:r w:rsidR="000D6127" w:rsidRPr="00367C86">
        <w:rPr>
          <w:rStyle w:val="relative"/>
          <w:rFonts w:ascii="Arial" w:hAnsi="Arial" w:cs="Arial"/>
          <w:sz w:val="20"/>
          <w:szCs w:val="20"/>
        </w:rPr>
        <w:t xml:space="preserve">de </w:t>
      </w:r>
      <w:r w:rsidRPr="00367C86">
        <w:rPr>
          <w:rStyle w:val="relative"/>
          <w:rFonts w:ascii="Arial" w:hAnsi="Arial" w:cs="Arial"/>
          <w:sz w:val="20"/>
          <w:szCs w:val="20"/>
        </w:rPr>
        <w:t>l’électrosensibilité</w:t>
      </w:r>
      <w:r w:rsidR="000D6127" w:rsidRPr="00367C86">
        <w:rPr>
          <w:rStyle w:val="relative"/>
          <w:rFonts w:ascii="Arial" w:hAnsi="Arial" w:cs="Arial"/>
          <w:sz w:val="20"/>
          <w:szCs w:val="20"/>
        </w:rPr>
        <w:t>. Suivant</w:t>
      </w:r>
      <w:r w:rsidRPr="00367C86">
        <w:rPr>
          <w:rStyle w:val="relative"/>
          <w:rFonts w:ascii="Arial" w:hAnsi="Arial" w:cs="Arial"/>
          <w:sz w:val="20"/>
          <w:szCs w:val="20"/>
        </w:rPr>
        <w:t xml:space="preserve"> une démarche omiqu</w:t>
      </w:r>
      <w:r w:rsidR="00D51FCD" w:rsidRPr="00367C86">
        <w:rPr>
          <w:rStyle w:val="relative"/>
          <w:rFonts w:ascii="Arial" w:hAnsi="Arial" w:cs="Arial"/>
          <w:sz w:val="20"/>
          <w:szCs w:val="20"/>
        </w:rPr>
        <w:t>e</w:t>
      </w:r>
      <w:r w:rsidR="000D6127" w:rsidRPr="00367C86">
        <w:rPr>
          <w:rStyle w:val="relative"/>
          <w:rFonts w:ascii="Arial" w:hAnsi="Arial" w:cs="Arial"/>
          <w:sz w:val="20"/>
          <w:szCs w:val="20"/>
        </w:rPr>
        <w:t xml:space="preserve">, il a </w:t>
      </w:r>
      <w:r w:rsidR="00106CDA" w:rsidRPr="00367C86">
        <w:rPr>
          <w:rStyle w:val="relative"/>
          <w:rFonts w:ascii="Arial" w:hAnsi="Arial" w:cs="Arial"/>
          <w:sz w:val="20"/>
          <w:szCs w:val="20"/>
        </w:rPr>
        <w:t xml:space="preserve">ainsi </w:t>
      </w:r>
      <w:r w:rsidR="000D6127" w:rsidRPr="00367C86">
        <w:rPr>
          <w:rStyle w:val="relative"/>
          <w:rFonts w:ascii="Arial" w:hAnsi="Arial" w:cs="Arial"/>
          <w:sz w:val="20"/>
          <w:szCs w:val="20"/>
        </w:rPr>
        <w:t>identifié des</w:t>
      </w:r>
      <w:r w:rsidRPr="00367C86">
        <w:rPr>
          <w:rStyle w:val="relative"/>
          <w:rFonts w:ascii="Arial" w:hAnsi="Arial" w:cs="Arial"/>
          <w:sz w:val="20"/>
          <w:szCs w:val="20"/>
        </w:rPr>
        <w:t xml:space="preserve"> </w:t>
      </w:r>
      <w:r w:rsidR="000D6127" w:rsidRPr="00367C86">
        <w:rPr>
          <w:rStyle w:val="relative"/>
          <w:rFonts w:ascii="Arial" w:hAnsi="Arial" w:cs="Arial"/>
          <w:sz w:val="20"/>
          <w:szCs w:val="20"/>
        </w:rPr>
        <w:t>effets commun</w:t>
      </w:r>
      <w:r w:rsidR="00516E00" w:rsidRPr="00367C86">
        <w:rPr>
          <w:rStyle w:val="relative"/>
          <w:rFonts w:ascii="Arial" w:hAnsi="Arial" w:cs="Arial"/>
          <w:sz w:val="20"/>
          <w:szCs w:val="20"/>
        </w:rPr>
        <w:t xml:space="preserve">s à </w:t>
      </w:r>
      <w:r w:rsidR="005E111B" w:rsidRPr="00367C86">
        <w:rPr>
          <w:rStyle w:val="relative"/>
          <w:rFonts w:ascii="Arial" w:hAnsi="Arial" w:cs="Arial"/>
          <w:sz w:val="20"/>
          <w:szCs w:val="20"/>
        </w:rPr>
        <w:t xml:space="preserve">ces deux maladies ainsi que leurs </w:t>
      </w:r>
      <w:r w:rsidRPr="00367C86">
        <w:rPr>
          <w:rStyle w:val="relative"/>
          <w:rFonts w:ascii="Arial" w:hAnsi="Arial" w:cs="Arial"/>
          <w:sz w:val="20"/>
          <w:szCs w:val="20"/>
        </w:rPr>
        <w:t>biomar</w:t>
      </w:r>
      <w:r w:rsidR="00516E00" w:rsidRPr="00367C86">
        <w:rPr>
          <w:rStyle w:val="relative"/>
          <w:rFonts w:ascii="Arial" w:hAnsi="Arial" w:cs="Arial"/>
          <w:sz w:val="20"/>
          <w:szCs w:val="20"/>
        </w:rPr>
        <w:t>queurs</w:t>
      </w:r>
      <w:r w:rsidR="008269DF" w:rsidRPr="00367C86">
        <w:rPr>
          <w:rStyle w:val="Appelnotedebasdep"/>
          <w:rFonts w:ascii="Arial" w:hAnsi="Arial" w:cs="Arial"/>
          <w:sz w:val="20"/>
          <w:szCs w:val="20"/>
        </w:rPr>
        <w:footnoteReference w:id="55"/>
      </w:r>
      <w:r w:rsidR="00516E00" w:rsidRPr="00367C86">
        <w:rPr>
          <w:rStyle w:val="relative"/>
          <w:rFonts w:ascii="Arial" w:hAnsi="Arial" w:cs="Arial"/>
          <w:sz w:val="20"/>
          <w:szCs w:val="20"/>
        </w:rPr>
        <w:t xml:space="preserve"> </w:t>
      </w:r>
      <w:r w:rsidRPr="00367C86">
        <w:rPr>
          <w:rStyle w:val="relative"/>
          <w:rFonts w:ascii="Arial" w:hAnsi="Arial" w:cs="Arial"/>
          <w:sz w:val="20"/>
          <w:szCs w:val="20"/>
        </w:rPr>
        <w:t xml:space="preserve">: </w:t>
      </w:r>
      <w:r w:rsidR="00E62E1B" w:rsidRPr="00367C86">
        <w:rPr>
          <w:rStyle w:val="relative"/>
          <w:rFonts w:ascii="Arial" w:hAnsi="Arial" w:cs="Arial"/>
          <w:i/>
          <w:sz w:val="20"/>
          <w:szCs w:val="20"/>
        </w:rPr>
        <w:t>s</w:t>
      </w:r>
      <w:r w:rsidR="00E62E1B" w:rsidRPr="00367C86">
        <w:rPr>
          <w:rStyle w:val="Accentuation"/>
          <w:rFonts w:ascii="Arial" w:hAnsi="Arial" w:cs="Arial"/>
          <w:i w:val="0"/>
          <w:sz w:val="20"/>
          <w:szCs w:val="20"/>
        </w:rPr>
        <w:t>tress oxydatif et nitrosati</w:t>
      </w:r>
      <w:r w:rsidR="008C20E6" w:rsidRPr="00367C86">
        <w:rPr>
          <w:rStyle w:val="Accentuation"/>
          <w:rFonts w:ascii="Arial" w:hAnsi="Arial" w:cs="Arial"/>
          <w:i w:val="0"/>
          <w:sz w:val="20"/>
          <w:szCs w:val="20"/>
        </w:rPr>
        <w:t>f</w:t>
      </w:r>
      <w:r w:rsidR="00E62E1B" w:rsidRPr="00367C86">
        <w:rPr>
          <w:rFonts w:ascii="Arial" w:hAnsi="Arial" w:cs="Arial"/>
          <w:sz w:val="20"/>
          <w:szCs w:val="20"/>
        </w:rPr>
        <w:t xml:space="preserve">, </w:t>
      </w:r>
      <w:r w:rsidR="00E62E1B" w:rsidRPr="00367C86">
        <w:rPr>
          <w:rStyle w:val="Accentuation"/>
          <w:rFonts w:ascii="Arial" w:hAnsi="Arial" w:cs="Arial"/>
          <w:i w:val="0"/>
          <w:sz w:val="20"/>
          <w:szCs w:val="20"/>
        </w:rPr>
        <w:t>activation immuno-inflammatoire</w:t>
      </w:r>
      <w:r w:rsidR="008C20E6" w:rsidRPr="00367C86">
        <w:rPr>
          <w:rFonts w:ascii="Arial" w:hAnsi="Arial" w:cs="Arial"/>
          <w:sz w:val="20"/>
          <w:szCs w:val="20"/>
        </w:rPr>
        <w:t xml:space="preserve">, </w:t>
      </w:r>
      <w:r w:rsidR="00E62E1B" w:rsidRPr="00367C86">
        <w:rPr>
          <w:rStyle w:val="Accentuation"/>
          <w:rFonts w:ascii="Arial" w:hAnsi="Arial" w:cs="Arial"/>
          <w:i w:val="0"/>
          <w:sz w:val="20"/>
          <w:szCs w:val="20"/>
        </w:rPr>
        <w:t>perméabilisation de la barrière hémato-encéphalique</w:t>
      </w:r>
      <w:r w:rsidR="00E62E1B" w:rsidRPr="00367C86">
        <w:rPr>
          <w:rFonts w:ascii="Arial" w:hAnsi="Arial" w:cs="Arial"/>
          <w:sz w:val="20"/>
          <w:szCs w:val="20"/>
        </w:rPr>
        <w:t xml:space="preserve">, </w:t>
      </w:r>
      <w:r w:rsidR="00E62E1B" w:rsidRPr="00367C86">
        <w:rPr>
          <w:rStyle w:val="Accentuation"/>
          <w:rFonts w:ascii="Arial" w:hAnsi="Arial" w:cs="Arial"/>
          <w:i w:val="0"/>
          <w:sz w:val="20"/>
          <w:szCs w:val="20"/>
        </w:rPr>
        <w:t>réduction du flux sanguin cérébral</w:t>
      </w:r>
      <w:r w:rsidR="00E62E1B" w:rsidRPr="00367C86">
        <w:rPr>
          <w:rFonts w:ascii="Arial" w:hAnsi="Arial" w:cs="Arial"/>
          <w:sz w:val="20"/>
          <w:szCs w:val="20"/>
        </w:rPr>
        <w:t xml:space="preserve">, </w:t>
      </w:r>
      <w:r w:rsidR="00E62E1B" w:rsidRPr="00367C86">
        <w:rPr>
          <w:rStyle w:val="Accentuation"/>
          <w:rFonts w:ascii="Arial" w:hAnsi="Arial" w:cs="Arial"/>
          <w:i w:val="0"/>
          <w:sz w:val="20"/>
          <w:szCs w:val="20"/>
        </w:rPr>
        <w:t>troubles du sommeil</w:t>
      </w:r>
      <w:r w:rsidR="008C20E6" w:rsidRPr="00367C86">
        <w:rPr>
          <w:rFonts w:ascii="Arial" w:hAnsi="Arial" w:cs="Arial"/>
          <w:sz w:val="20"/>
          <w:szCs w:val="20"/>
        </w:rPr>
        <w:t xml:space="preserve">, notamment. </w:t>
      </w:r>
      <w:r w:rsidR="00AA284A" w:rsidRPr="00367C86">
        <w:rPr>
          <w:rFonts w:ascii="Arial" w:hAnsi="Arial" w:cs="Arial"/>
          <w:sz w:val="20"/>
          <w:szCs w:val="20"/>
        </w:rPr>
        <w:t>Plusieurs biomarqueurs ont été objectivés chez &gt;80 % des personnes testées.</w:t>
      </w:r>
      <w:r w:rsidR="00AA284A" w:rsidRPr="00367C86">
        <w:rPr>
          <w:rFonts w:ascii="Arial" w:hAnsi="Arial" w:cs="Arial"/>
          <w:b/>
          <w:sz w:val="20"/>
          <w:szCs w:val="20"/>
        </w:rPr>
        <w:t xml:space="preserve"> </w:t>
      </w:r>
      <w:r w:rsidR="00AA284A" w:rsidRPr="00367C86">
        <w:rPr>
          <w:rFonts w:ascii="Arial" w:hAnsi="Arial" w:cs="Arial"/>
          <w:sz w:val="20"/>
          <w:szCs w:val="20"/>
        </w:rPr>
        <w:t xml:space="preserve">Ces résultats résultent d’observations menées sur des patients, </w:t>
      </w:r>
      <w:r w:rsidR="008C20E6" w:rsidRPr="00367C86">
        <w:rPr>
          <w:rFonts w:ascii="Arial" w:hAnsi="Arial" w:cs="Arial"/>
          <w:sz w:val="20"/>
          <w:szCs w:val="20"/>
        </w:rPr>
        <w:t>en l’</w:t>
      </w:r>
      <w:r w:rsidR="00AA284A" w:rsidRPr="00367C86">
        <w:rPr>
          <w:rFonts w:ascii="Arial" w:hAnsi="Arial" w:cs="Arial"/>
          <w:sz w:val="20"/>
          <w:szCs w:val="20"/>
        </w:rPr>
        <w:t>absence de groupe contrôle. Pas de récepteur moléculaire unique connu</w:t>
      </w:r>
      <w:r w:rsidR="008C20E6" w:rsidRPr="00367C86">
        <w:rPr>
          <w:rFonts w:ascii="Arial" w:hAnsi="Arial" w:cs="Arial"/>
          <w:sz w:val="20"/>
          <w:szCs w:val="20"/>
        </w:rPr>
        <w:t xml:space="preserve"> (ébauche de proposition d’</w:t>
      </w:r>
      <w:r w:rsidR="0076583F" w:rsidRPr="00367C86">
        <w:rPr>
          <w:rFonts w:ascii="Arial" w:hAnsi="Arial" w:cs="Arial"/>
          <w:sz w:val="20"/>
          <w:szCs w:val="20"/>
        </w:rPr>
        <w:t>AOP</w:t>
      </w:r>
      <w:r w:rsidR="0076583F" w:rsidRPr="00367C86">
        <w:rPr>
          <w:rStyle w:val="Appelnotedebasdep"/>
          <w:rFonts w:ascii="Arial" w:hAnsi="Arial" w:cs="Arial"/>
          <w:sz w:val="20"/>
          <w:szCs w:val="20"/>
        </w:rPr>
        <w:footnoteReference w:id="56"/>
      </w:r>
      <w:r w:rsidR="0076583F" w:rsidRPr="00367C86">
        <w:rPr>
          <w:rFonts w:ascii="Arial" w:hAnsi="Arial" w:cs="Arial"/>
          <w:sz w:val="20"/>
          <w:szCs w:val="20"/>
        </w:rPr>
        <w:t>, annexe 16</w:t>
      </w:r>
      <w:r w:rsidR="00AA284A" w:rsidRPr="00367C86">
        <w:rPr>
          <w:rFonts w:ascii="Arial" w:hAnsi="Arial" w:cs="Arial"/>
          <w:sz w:val="20"/>
          <w:szCs w:val="20"/>
        </w:rPr>
        <w:t>)</w:t>
      </w:r>
    </w:p>
    <w:p w:rsidR="00BF4A9A" w:rsidRPr="00367C86" w:rsidRDefault="008269DF" w:rsidP="00367C86">
      <w:pPr>
        <w:spacing w:before="100" w:beforeAutospacing="1" w:after="100" w:afterAutospacing="1"/>
        <w:ind w:left="0" w:firstLine="0"/>
        <w:rPr>
          <w:rStyle w:val="relative"/>
          <w:rFonts w:ascii="Arial" w:hAnsi="Arial" w:cs="Arial"/>
          <w:sz w:val="20"/>
          <w:szCs w:val="20"/>
        </w:rPr>
      </w:pPr>
      <w:r w:rsidRPr="00367C86">
        <w:rPr>
          <w:rStyle w:val="relative"/>
          <w:rFonts w:ascii="Arial" w:hAnsi="Arial" w:cs="Arial"/>
          <w:sz w:val="20"/>
          <w:szCs w:val="20"/>
        </w:rPr>
        <w:t>S</w:t>
      </w:r>
      <w:r w:rsidR="00123CE0" w:rsidRPr="00367C86">
        <w:rPr>
          <w:rStyle w:val="relative"/>
          <w:rFonts w:ascii="Arial" w:hAnsi="Arial" w:cs="Arial"/>
          <w:sz w:val="20"/>
          <w:szCs w:val="20"/>
        </w:rPr>
        <w:t>tress oxydatif,</w:t>
      </w:r>
      <w:r w:rsidR="00106CDA" w:rsidRPr="00367C86">
        <w:rPr>
          <w:rStyle w:val="relative"/>
          <w:rFonts w:ascii="Arial" w:hAnsi="Arial" w:cs="Arial"/>
          <w:sz w:val="20"/>
          <w:szCs w:val="20"/>
        </w:rPr>
        <w:t xml:space="preserve"> </w:t>
      </w:r>
      <w:r w:rsidR="00123CE0" w:rsidRPr="00367C86">
        <w:rPr>
          <w:rStyle w:val="relative"/>
          <w:rFonts w:ascii="Arial" w:hAnsi="Arial" w:cs="Arial"/>
          <w:sz w:val="20"/>
          <w:szCs w:val="20"/>
        </w:rPr>
        <w:t>perméabilisation</w:t>
      </w:r>
      <w:r w:rsidRPr="00367C86">
        <w:rPr>
          <w:rStyle w:val="relative"/>
          <w:rFonts w:ascii="Arial" w:hAnsi="Arial" w:cs="Arial"/>
          <w:sz w:val="20"/>
          <w:szCs w:val="20"/>
        </w:rPr>
        <w:t xml:space="preserve"> de la BHE, troubles du sommeil et</w:t>
      </w:r>
      <w:r w:rsidR="00123CE0" w:rsidRPr="00367C86">
        <w:rPr>
          <w:rStyle w:val="relative"/>
          <w:rFonts w:ascii="Arial" w:hAnsi="Arial" w:cs="Arial"/>
          <w:sz w:val="20"/>
          <w:szCs w:val="20"/>
        </w:rPr>
        <w:t xml:space="preserve"> réponse au</w:t>
      </w:r>
      <w:r w:rsidR="00BF4A9A" w:rsidRPr="00367C86">
        <w:rPr>
          <w:rStyle w:val="relative"/>
          <w:rFonts w:ascii="Arial" w:hAnsi="Arial" w:cs="Arial"/>
          <w:sz w:val="20"/>
          <w:szCs w:val="20"/>
        </w:rPr>
        <w:t>t</w:t>
      </w:r>
      <w:r w:rsidRPr="00367C86">
        <w:rPr>
          <w:rStyle w:val="relative"/>
          <w:rFonts w:ascii="Arial" w:hAnsi="Arial" w:cs="Arial"/>
          <w:sz w:val="20"/>
          <w:szCs w:val="20"/>
        </w:rPr>
        <w:t>o-immune sont des effets athermiques observés également dans d’autres études.</w:t>
      </w:r>
      <w:r w:rsidR="00BF4A9A" w:rsidRPr="00367C86">
        <w:rPr>
          <w:rStyle w:val="relative"/>
          <w:rFonts w:ascii="Arial" w:hAnsi="Arial" w:cs="Arial"/>
          <w:sz w:val="20"/>
          <w:szCs w:val="20"/>
        </w:rPr>
        <w:t xml:space="preserve">Nous ne pourrons pas tout aborder dans ce mémoire mais voici tout de même un petit crochet du côté du stress oxydatif, qui apppellera un autre petit crochet du </w:t>
      </w:r>
      <w:r w:rsidR="00106CDA" w:rsidRPr="00367C86">
        <w:rPr>
          <w:rStyle w:val="relative"/>
          <w:rFonts w:ascii="Arial" w:hAnsi="Arial" w:cs="Arial"/>
          <w:sz w:val="20"/>
          <w:szCs w:val="20"/>
        </w:rPr>
        <w:t xml:space="preserve">côté des travaux de Martin Pall, et </w:t>
      </w:r>
      <w:r w:rsidRPr="00367C86">
        <w:rPr>
          <w:rStyle w:val="relative"/>
          <w:rFonts w:ascii="Arial" w:hAnsi="Arial" w:cs="Arial"/>
          <w:sz w:val="20"/>
          <w:szCs w:val="20"/>
        </w:rPr>
        <w:t xml:space="preserve">encore </w:t>
      </w:r>
      <w:r w:rsidR="00106CDA" w:rsidRPr="00367C86">
        <w:rPr>
          <w:rStyle w:val="relative"/>
          <w:rFonts w:ascii="Arial" w:hAnsi="Arial" w:cs="Arial"/>
          <w:sz w:val="20"/>
          <w:szCs w:val="20"/>
        </w:rPr>
        <w:t>un autre crochet, tout de même…</w:t>
      </w:r>
    </w:p>
    <w:p w:rsidR="00E62E1B" w:rsidRPr="00367C86" w:rsidRDefault="00E62E1B" w:rsidP="009F3BB0">
      <w:pPr>
        <w:pStyle w:val="Paragraphedeliste"/>
        <w:numPr>
          <w:ilvl w:val="0"/>
          <w:numId w:val="17"/>
        </w:numPr>
        <w:spacing w:before="100" w:beforeAutospacing="1" w:after="100" w:afterAutospacing="1"/>
        <w:ind w:left="2127" w:hanging="709"/>
        <w:rPr>
          <w:rStyle w:val="relative"/>
          <w:rFonts w:ascii="Arial" w:hAnsi="Arial" w:cs="Arial"/>
          <w:sz w:val="20"/>
          <w:szCs w:val="20"/>
        </w:rPr>
      </w:pPr>
      <w:r w:rsidRPr="00367C86">
        <w:rPr>
          <w:rStyle w:val="relative"/>
          <w:rFonts w:ascii="Arial" w:hAnsi="Arial" w:cs="Arial"/>
          <w:sz w:val="20"/>
          <w:szCs w:val="20"/>
        </w:rPr>
        <w:t xml:space="preserve">Stress oxydatif, autres études : </w:t>
      </w:r>
    </w:p>
    <w:p w:rsidR="00BF4A9A" w:rsidRPr="00367C86" w:rsidRDefault="002F6705" w:rsidP="00367C86">
      <w:pPr>
        <w:spacing w:before="100" w:beforeAutospacing="1" w:after="100" w:afterAutospacing="1"/>
        <w:ind w:left="0" w:firstLine="0"/>
        <w:rPr>
          <w:rFonts w:ascii="Arial" w:hAnsi="Arial" w:cs="Arial"/>
          <w:sz w:val="20"/>
          <w:szCs w:val="20"/>
        </w:rPr>
      </w:pPr>
      <w:r w:rsidRPr="00367C86">
        <w:rPr>
          <w:rFonts w:ascii="Arial" w:hAnsi="Arial" w:cs="Arial"/>
          <w:sz w:val="20"/>
          <w:szCs w:val="20"/>
        </w:rPr>
        <w:t xml:space="preserve">L'étude de Panagopoulos et al. (2021), intitulée </w:t>
      </w:r>
      <w:r w:rsidRPr="00367C86">
        <w:rPr>
          <w:rStyle w:val="Accentuation"/>
          <w:rFonts w:ascii="Arial" w:hAnsi="Arial" w:cs="Arial"/>
          <w:sz w:val="20"/>
          <w:szCs w:val="20"/>
        </w:rPr>
        <w:t>"Human-made electromagnetic fields: Ion forced-oscillation and voltage-gated ion channel dysfunction, oxidative stress and DNA damage"</w:t>
      </w:r>
      <w:r w:rsidRPr="00367C86">
        <w:rPr>
          <w:rFonts w:ascii="Arial" w:hAnsi="Arial" w:cs="Arial"/>
          <w:sz w:val="20"/>
          <w:szCs w:val="20"/>
        </w:rPr>
        <w:t xml:space="preserve">, est une revue </w:t>
      </w:r>
      <w:r w:rsidR="007F6DAA" w:rsidRPr="00367C86">
        <w:rPr>
          <w:rFonts w:ascii="Arial" w:hAnsi="Arial" w:cs="Arial"/>
          <w:sz w:val="20"/>
          <w:szCs w:val="20"/>
        </w:rPr>
        <w:t>narrative exposant les résultats</w:t>
      </w:r>
      <w:r w:rsidR="00264BAD" w:rsidRPr="00367C86">
        <w:rPr>
          <w:rFonts w:ascii="Arial" w:hAnsi="Arial" w:cs="Arial"/>
          <w:sz w:val="20"/>
          <w:szCs w:val="20"/>
        </w:rPr>
        <w:t xml:space="preserve"> de 238 études. Elle identifie notamment les</w:t>
      </w:r>
      <w:r w:rsidR="007F6DAA" w:rsidRPr="00367C86">
        <w:rPr>
          <w:rFonts w:ascii="Arial" w:hAnsi="Arial" w:cs="Arial"/>
          <w:sz w:val="20"/>
          <w:szCs w:val="20"/>
        </w:rPr>
        <w:t xml:space="preserve"> événements-clefs</w:t>
      </w:r>
      <w:r w:rsidR="00264BAD" w:rsidRPr="00367C86">
        <w:rPr>
          <w:rFonts w:ascii="Arial" w:hAnsi="Arial" w:cs="Arial"/>
          <w:sz w:val="20"/>
          <w:szCs w:val="20"/>
        </w:rPr>
        <w:t xml:space="preserve"> suivants</w:t>
      </w:r>
      <w:r w:rsidR="007F6DAA" w:rsidRPr="00367C86">
        <w:rPr>
          <w:rFonts w:ascii="Arial" w:hAnsi="Arial" w:cs="Arial"/>
          <w:sz w:val="20"/>
          <w:szCs w:val="20"/>
        </w:rPr>
        <w:t xml:space="preserve"> : </w:t>
      </w:r>
      <w:r w:rsidR="00264BAD" w:rsidRPr="00367C86">
        <w:rPr>
          <w:rFonts w:ascii="Arial" w:hAnsi="Arial" w:cs="Arial"/>
          <w:sz w:val="20"/>
          <w:szCs w:val="20"/>
        </w:rPr>
        <w:tab/>
      </w:r>
      <w:r w:rsidR="00BF4A9A" w:rsidRPr="00367C86">
        <w:rPr>
          <w:rFonts w:ascii="Arial" w:hAnsi="Arial" w:cs="Arial"/>
          <w:sz w:val="20"/>
          <w:szCs w:val="20"/>
        </w:rPr>
        <w:tab/>
      </w:r>
    </w:p>
    <w:p w:rsidR="007F6DAA" w:rsidRPr="00367C86" w:rsidRDefault="007F6DAA" w:rsidP="00367C86">
      <w:pPr>
        <w:spacing w:before="100" w:beforeAutospacing="1" w:after="100" w:afterAutospacing="1"/>
        <w:ind w:left="0" w:firstLine="708"/>
        <w:rPr>
          <w:rStyle w:val="relative"/>
          <w:rFonts w:ascii="Arial" w:hAnsi="Arial" w:cs="Arial"/>
          <w:sz w:val="20"/>
          <w:szCs w:val="20"/>
        </w:rPr>
      </w:pPr>
      <w:r w:rsidRPr="00367C86">
        <w:rPr>
          <w:rFonts w:ascii="Arial" w:hAnsi="Arial" w:cs="Arial"/>
          <w:b/>
          <w:sz w:val="20"/>
          <w:szCs w:val="20"/>
        </w:rPr>
        <w:t>un m</w:t>
      </w:r>
      <w:r w:rsidRPr="00367C86">
        <w:rPr>
          <w:rStyle w:val="lev"/>
          <w:rFonts w:ascii="Arial" w:hAnsi="Arial" w:cs="Arial"/>
          <w:sz w:val="20"/>
          <w:szCs w:val="20"/>
        </w:rPr>
        <w:t>écanisme d'oscillation forcée des ions</w:t>
      </w:r>
      <w:r w:rsidRPr="00367C86">
        <w:rPr>
          <w:rFonts w:ascii="Arial" w:hAnsi="Arial" w:cs="Arial"/>
          <w:sz w:val="20"/>
          <w:szCs w:val="20"/>
        </w:rPr>
        <w:t xml:space="preserve"> : </w:t>
      </w:r>
      <w:r w:rsidRPr="00367C86">
        <w:rPr>
          <w:rStyle w:val="relative"/>
          <w:rFonts w:ascii="Arial" w:hAnsi="Arial" w:cs="Arial"/>
          <w:sz w:val="20"/>
          <w:szCs w:val="20"/>
        </w:rPr>
        <w:t>les a</w:t>
      </w:r>
      <w:r w:rsidR="00BF4A9A" w:rsidRPr="00367C86">
        <w:rPr>
          <w:rStyle w:val="relative"/>
          <w:rFonts w:ascii="Arial" w:hAnsi="Arial" w:cs="Arial"/>
          <w:sz w:val="20"/>
          <w:szCs w:val="20"/>
        </w:rPr>
        <w:t>uteurs décrivent comment les champs électromagnétiques</w:t>
      </w:r>
      <w:r w:rsidR="00264BAD" w:rsidRPr="00367C86">
        <w:rPr>
          <w:rStyle w:val="relative"/>
          <w:rFonts w:ascii="Arial" w:hAnsi="Arial" w:cs="Arial"/>
          <w:sz w:val="20"/>
          <w:szCs w:val="20"/>
        </w:rPr>
        <w:t xml:space="preserve"> peuvent </w:t>
      </w:r>
      <w:r w:rsidRPr="00367C86">
        <w:rPr>
          <w:rStyle w:val="relative"/>
          <w:rFonts w:ascii="Arial" w:hAnsi="Arial" w:cs="Arial"/>
          <w:sz w:val="20"/>
          <w:szCs w:val="20"/>
        </w:rPr>
        <w:t>provoquer une oscillation forcée des ions mobiles à proximité des canaux ioni</w:t>
      </w:r>
      <w:r w:rsidR="00264BAD" w:rsidRPr="00367C86">
        <w:rPr>
          <w:rStyle w:val="relative"/>
          <w:rFonts w:ascii="Arial" w:hAnsi="Arial" w:cs="Arial"/>
          <w:sz w:val="20"/>
          <w:szCs w:val="20"/>
        </w:rPr>
        <w:t xml:space="preserve">ques voltage-dépendants </w:t>
      </w:r>
      <w:r w:rsidRPr="00367C86">
        <w:rPr>
          <w:rStyle w:val="relative"/>
          <w:rFonts w:ascii="Arial" w:hAnsi="Arial" w:cs="Arial"/>
          <w:sz w:val="20"/>
          <w:szCs w:val="20"/>
        </w:rPr>
        <w:t>sur les membranes cellulaires. Cette oscillation peut entraîner une ouverture et une fermeture irrégulières de ces canaux, perturbant ainsi l'équilibre électrochimique cellulaire.</w:t>
      </w:r>
      <w:r w:rsidR="00BE23C8">
        <w:rPr>
          <w:rStyle w:val="relative"/>
          <w:rFonts w:ascii="Arial" w:hAnsi="Arial" w:cs="Arial"/>
          <w:sz w:val="20"/>
          <w:szCs w:val="20"/>
        </w:rPr>
        <w:t xml:space="preserve"> </w:t>
      </w:r>
      <w:r w:rsidR="00264BAD" w:rsidRPr="00367C86">
        <w:rPr>
          <w:rStyle w:val="relative"/>
          <w:rFonts w:ascii="Arial" w:hAnsi="Arial" w:cs="Arial"/>
          <w:sz w:val="20"/>
          <w:szCs w:val="20"/>
        </w:rPr>
        <w:t xml:space="preserve">Ce mécanisme d’action a été particulièrement étudié par Martin </w:t>
      </w:r>
      <w:r w:rsidR="009B39DA" w:rsidRPr="00367C86">
        <w:rPr>
          <w:rStyle w:val="relative"/>
          <w:rFonts w:ascii="Arial" w:hAnsi="Arial" w:cs="Arial"/>
          <w:sz w:val="20"/>
          <w:szCs w:val="20"/>
        </w:rPr>
        <w:t>L.</w:t>
      </w:r>
      <w:r w:rsidR="00264BAD" w:rsidRPr="00367C86">
        <w:rPr>
          <w:rStyle w:val="relative"/>
          <w:rFonts w:ascii="Arial" w:hAnsi="Arial" w:cs="Arial"/>
          <w:sz w:val="20"/>
          <w:szCs w:val="20"/>
        </w:rPr>
        <w:t>Pall</w:t>
      </w:r>
      <w:r w:rsidR="00BF4A9A" w:rsidRPr="00367C86">
        <w:rPr>
          <w:rStyle w:val="relative"/>
          <w:rFonts w:ascii="Arial" w:hAnsi="Arial" w:cs="Arial"/>
          <w:sz w:val="20"/>
          <w:szCs w:val="20"/>
        </w:rPr>
        <w:t>, nous allons y revenir plus bas.</w:t>
      </w:r>
      <w:r w:rsidR="00264BAD" w:rsidRPr="00367C86">
        <w:rPr>
          <w:rStyle w:val="relative"/>
          <w:rFonts w:ascii="Arial" w:hAnsi="Arial" w:cs="Arial"/>
          <w:sz w:val="20"/>
          <w:szCs w:val="20"/>
        </w:rPr>
        <w:tab/>
      </w:r>
      <w:r w:rsidR="00264BAD" w:rsidRPr="00367C86">
        <w:rPr>
          <w:rStyle w:val="relative"/>
          <w:rFonts w:ascii="Arial" w:hAnsi="Arial" w:cs="Arial"/>
          <w:sz w:val="20"/>
          <w:szCs w:val="20"/>
        </w:rPr>
        <w:tab/>
      </w:r>
      <w:r w:rsidRPr="00367C86">
        <w:rPr>
          <w:rStyle w:val="lev"/>
          <w:rFonts w:ascii="Arial" w:hAnsi="Arial" w:cs="Arial"/>
          <w:sz w:val="20"/>
          <w:szCs w:val="20"/>
        </w:rPr>
        <w:t>un stress oxydatif et des dommages à l'ADN</w:t>
      </w:r>
      <w:r w:rsidRPr="00367C86">
        <w:rPr>
          <w:rFonts w:ascii="Arial" w:hAnsi="Arial" w:cs="Arial"/>
          <w:sz w:val="20"/>
          <w:szCs w:val="20"/>
        </w:rPr>
        <w:t xml:space="preserve"> : </w:t>
      </w:r>
      <w:r w:rsidR="00106CDA" w:rsidRPr="00367C86">
        <w:rPr>
          <w:rFonts w:ascii="Arial" w:hAnsi="Arial" w:cs="Arial"/>
          <w:sz w:val="20"/>
          <w:szCs w:val="20"/>
        </w:rPr>
        <w:t xml:space="preserve">le mécanisme précédent </w:t>
      </w:r>
      <w:r w:rsidRPr="00367C86">
        <w:rPr>
          <w:rStyle w:val="relative"/>
          <w:rFonts w:ascii="Arial" w:hAnsi="Arial" w:cs="Arial"/>
          <w:sz w:val="20"/>
          <w:szCs w:val="20"/>
        </w:rPr>
        <w:t>peut conduire à une surproduction d'espèces réactives de l'oxygène (ROS), entraînant un stress oxydatif. Ce stress peut endommager l'ADN, provoquant des cassures de brins, des mutations et d'autres altérations génétiques.</w:t>
      </w:r>
      <w:r w:rsidR="00D56390" w:rsidRPr="00367C86">
        <w:rPr>
          <w:rStyle w:val="relative"/>
          <w:rFonts w:ascii="Arial" w:hAnsi="Arial" w:cs="Arial"/>
          <w:sz w:val="20"/>
          <w:szCs w:val="20"/>
        </w:rPr>
        <w:t xml:space="preserve"> </w:t>
      </w:r>
    </w:p>
    <w:p w:rsidR="00BF4A9A" w:rsidRPr="00367C86" w:rsidRDefault="00BF4A9A" w:rsidP="00367C86">
      <w:pPr>
        <w:spacing w:before="100" w:beforeAutospacing="1" w:after="100" w:afterAutospacing="1"/>
        <w:ind w:left="0" w:firstLine="0"/>
        <w:rPr>
          <w:rFonts w:ascii="Arial" w:hAnsi="Arial" w:cs="Arial"/>
          <w:sz w:val="20"/>
          <w:szCs w:val="20"/>
        </w:rPr>
      </w:pPr>
      <w:r w:rsidRPr="00367C86">
        <w:rPr>
          <w:rFonts w:ascii="Arial" w:hAnsi="Arial" w:cs="Arial"/>
          <w:sz w:val="20"/>
          <w:szCs w:val="20"/>
        </w:rPr>
        <w:t>Les auteurs suggèrent que les effets biologiques</w:t>
      </w:r>
      <w:r w:rsidR="000603C9" w:rsidRPr="00367C86">
        <w:rPr>
          <w:rFonts w:ascii="Arial" w:hAnsi="Arial" w:cs="Arial"/>
          <w:sz w:val="20"/>
          <w:szCs w:val="20"/>
        </w:rPr>
        <w:t xml:space="preserve"> non thermiques attribués aux radiofréquences</w:t>
      </w:r>
      <w:r w:rsidRPr="00367C86">
        <w:rPr>
          <w:rFonts w:ascii="Arial" w:hAnsi="Arial" w:cs="Arial"/>
          <w:sz w:val="20"/>
          <w:szCs w:val="20"/>
        </w:rPr>
        <w:t xml:space="preserve"> sont en réa</w:t>
      </w:r>
      <w:r w:rsidR="000603C9" w:rsidRPr="00367C86">
        <w:rPr>
          <w:rFonts w:ascii="Arial" w:hAnsi="Arial" w:cs="Arial"/>
          <w:sz w:val="20"/>
          <w:szCs w:val="20"/>
        </w:rPr>
        <w:t>lité dus à leurs composantes ELF</w:t>
      </w:r>
      <w:r w:rsidRPr="00367C86">
        <w:rPr>
          <w:rFonts w:ascii="Arial" w:hAnsi="Arial" w:cs="Arial"/>
          <w:sz w:val="20"/>
          <w:szCs w:val="20"/>
        </w:rPr>
        <w:t>, présentes sous forme de modulations, de pulsations et de variations aléatoires : le signal informationnel évoqué dans notre première partie !</w:t>
      </w:r>
    </w:p>
    <w:p w:rsidR="00D56390" w:rsidRPr="00367C86" w:rsidRDefault="00BF4A9A" w:rsidP="00367C86">
      <w:pPr>
        <w:spacing w:before="100" w:beforeAutospacing="1" w:after="100" w:afterAutospacing="1"/>
        <w:ind w:left="0" w:firstLine="0"/>
        <w:rPr>
          <w:rStyle w:val="relative"/>
          <w:rFonts w:ascii="Arial" w:hAnsi="Arial" w:cs="Arial"/>
          <w:sz w:val="20"/>
          <w:szCs w:val="20"/>
        </w:rPr>
      </w:pPr>
      <w:r w:rsidRPr="00367C86">
        <w:rPr>
          <w:rFonts w:ascii="Arial" w:hAnsi="Arial" w:cs="Arial"/>
          <w:sz w:val="20"/>
          <w:szCs w:val="20"/>
        </w:rPr>
        <w:t>Par ailleurs, c</w:t>
      </w:r>
      <w:r w:rsidRPr="00367C86">
        <w:rPr>
          <w:rStyle w:val="relative"/>
          <w:rFonts w:ascii="Arial" w:hAnsi="Arial" w:cs="Arial"/>
          <w:sz w:val="20"/>
          <w:szCs w:val="20"/>
        </w:rPr>
        <w:t xml:space="preserve">ette étude souligne </w:t>
      </w:r>
      <w:r w:rsidR="00D56390" w:rsidRPr="00367C86">
        <w:rPr>
          <w:rStyle w:val="relative"/>
          <w:rFonts w:ascii="Arial" w:hAnsi="Arial" w:cs="Arial"/>
          <w:sz w:val="20"/>
          <w:szCs w:val="20"/>
        </w:rPr>
        <w:t>la capacité d’une exposition de</w:t>
      </w:r>
      <w:r w:rsidR="0076583F" w:rsidRPr="00367C86">
        <w:rPr>
          <w:rStyle w:val="relative"/>
          <w:rFonts w:ascii="Arial" w:hAnsi="Arial" w:cs="Arial"/>
          <w:sz w:val="20"/>
          <w:szCs w:val="20"/>
        </w:rPr>
        <w:t xml:space="preserve"> faible intensité aux radiofréquences à bouleverser </w:t>
      </w:r>
      <w:r w:rsidR="00D56390" w:rsidRPr="00367C86">
        <w:rPr>
          <w:rStyle w:val="relative"/>
          <w:rFonts w:ascii="Arial" w:hAnsi="Arial" w:cs="Arial"/>
          <w:sz w:val="20"/>
          <w:szCs w:val="20"/>
        </w:rPr>
        <w:t xml:space="preserve">l’homéostasie </w:t>
      </w:r>
      <w:r w:rsidR="0076583F" w:rsidRPr="00367C86">
        <w:rPr>
          <w:rStyle w:val="relative"/>
          <w:rFonts w:ascii="Arial" w:hAnsi="Arial" w:cs="Arial"/>
          <w:sz w:val="20"/>
          <w:szCs w:val="20"/>
        </w:rPr>
        <w:t>électrochimique des cellules vivantes.</w:t>
      </w:r>
      <w:r w:rsidRPr="00367C86">
        <w:rPr>
          <w:rStyle w:val="relative"/>
          <w:rFonts w:ascii="Arial" w:hAnsi="Arial" w:cs="Arial"/>
          <w:sz w:val="20"/>
          <w:szCs w:val="20"/>
        </w:rPr>
        <w:t xml:space="preserve"> </w:t>
      </w:r>
      <w:r w:rsidR="00D56390" w:rsidRPr="00367C86">
        <w:rPr>
          <w:rStyle w:val="relative"/>
          <w:rFonts w:ascii="Arial" w:hAnsi="Arial" w:cs="Arial"/>
          <w:sz w:val="20"/>
          <w:szCs w:val="20"/>
        </w:rPr>
        <w:t>Il serait intéressant de croiser ces conclusions avec celles de</w:t>
      </w:r>
      <w:r w:rsidRPr="00367C86">
        <w:rPr>
          <w:rStyle w:val="relative"/>
          <w:rFonts w:ascii="Arial" w:hAnsi="Arial" w:cs="Arial"/>
          <w:sz w:val="20"/>
          <w:szCs w:val="20"/>
        </w:rPr>
        <w:t>s</w:t>
      </w:r>
      <w:r w:rsidR="00D56390" w:rsidRPr="00367C86">
        <w:rPr>
          <w:rStyle w:val="relative"/>
          <w:rFonts w:ascii="Arial" w:hAnsi="Arial" w:cs="Arial"/>
          <w:sz w:val="20"/>
          <w:szCs w:val="20"/>
        </w:rPr>
        <w:t xml:space="preserve"> recherches menées sur les effets biologiques des radiofréquences sur les plantes et les insectes</w:t>
      </w:r>
      <w:r w:rsidRPr="00367C86">
        <w:rPr>
          <w:rStyle w:val="relative"/>
          <w:rFonts w:ascii="Arial" w:hAnsi="Arial" w:cs="Arial"/>
          <w:sz w:val="20"/>
          <w:szCs w:val="20"/>
        </w:rPr>
        <w:t>, qui constatent des effets simil</w:t>
      </w:r>
      <w:r w:rsidR="000603C9" w:rsidRPr="00367C86">
        <w:rPr>
          <w:rStyle w:val="relative"/>
          <w:rFonts w:ascii="Arial" w:hAnsi="Arial" w:cs="Arial"/>
          <w:sz w:val="20"/>
          <w:szCs w:val="20"/>
        </w:rPr>
        <w:t>aires. Nous avons ainsi intégré</w:t>
      </w:r>
      <w:r w:rsidRPr="00367C86">
        <w:rPr>
          <w:rStyle w:val="relative"/>
          <w:rFonts w:ascii="Arial" w:hAnsi="Arial" w:cs="Arial"/>
          <w:sz w:val="20"/>
          <w:szCs w:val="20"/>
        </w:rPr>
        <w:t xml:space="preserve"> en annexe de ce mémoire une </w:t>
      </w:r>
      <w:r w:rsidR="0076583F" w:rsidRPr="00367C86">
        <w:rPr>
          <w:rStyle w:val="relative"/>
          <w:rFonts w:ascii="Arial" w:hAnsi="Arial" w:cs="Arial"/>
          <w:sz w:val="20"/>
          <w:szCs w:val="20"/>
        </w:rPr>
        <w:t>proposition d’</w:t>
      </w:r>
      <w:r w:rsidRPr="00367C86">
        <w:rPr>
          <w:rStyle w:val="relative"/>
          <w:rFonts w:ascii="Arial" w:hAnsi="Arial" w:cs="Arial"/>
          <w:sz w:val="20"/>
          <w:szCs w:val="20"/>
        </w:rPr>
        <w:t>AOP pour les plantes</w:t>
      </w:r>
      <w:r w:rsidR="00106CDA" w:rsidRPr="00367C86">
        <w:rPr>
          <w:rStyle w:val="relative"/>
          <w:rFonts w:ascii="Arial" w:hAnsi="Arial" w:cs="Arial"/>
          <w:sz w:val="20"/>
          <w:szCs w:val="20"/>
        </w:rPr>
        <w:t xml:space="preserve"> à partir </w:t>
      </w:r>
      <w:r w:rsidR="00ED3ACB" w:rsidRPr="00367C86">
        <w:rPr>
          <w:rStyle w:val="relative"/>
          <w:rFonts w:ascii="Arial" w:hAnsi="Arial" w:cs="Arial"/>
          <w:sz w:val="20"/>
          <w:szCs w:val="20"/>
        </w:rPr>
        <w:t xml:space="preserve">notamment de la synthèse de 60 études faites par l’étude Vian et al. (2016) </w:t>
      </w:r>
      <w:r w:rsidRPr="00367C86">
        <w:rPr>
          <w:rStyle w:val="relative"/>
          <w:rFonts w:ascii="Arial" w:hAnsi="Arial" w:cs="Arial"/>
          <w:sz w:val="20"/>
          <w:szCs w:val="20"/>
        </w:rPr>
        <w:t>(</w:t>
      </w:r>
      <w:r w:rsidR="00BE4DBA" w:rsidRPr="00367C86">
        <w:rPr>
          <w:rStyle w:val="relative"/>
          <w:rFonts w:ascii="Arial" w:hAnsi="Arial" w:cs="Arial"/>
          <w:sz w:val="20"/>
          <w:szCs w:val="20"/>
        </w:rPr>
        <w:t>annexe 17</w:t>
      </w:r>
      <w:r w:rsidRPr="00367C86">
        <w:rPr>
          <w:rStyle w:val="relative"/>
          <w:rFonts w:ascii="Arial" w:hAnsi="Arial" w:cs="Arial"/>
          <w:sz w:val="20"/>
          <w:szCs w:val="20"/>
        </w:rPr>
        <w:t xml:space="preserve">) et une </w:t>
      </w:r>
      <w:r w:rsidR="0076583F" w:rsidRPr="00367C86">
        <w:rPr>
          <w:rStyle w:val="relative"/>
          <w:rFonts w:ascii="Arial" w:hAnsi="Arial" w:cs="Arial"/>
          <w:sz w:val="20"/>
          <w:szCs w:val="20"/>
        </w:rPr>
        <w:t>proposition d’AOP po</w:t>
      </w:r>
      <w:r w:rsidRPr="00367C86">
        <w:rPr>
          <w:rStyle w:val="relative"/>
          <w:rFonts w:ascii="Arial" w:hAnsi="Arial" w:cs="Arial"/>
          <w:sz w:val="20"/>
          <w:szCs w:val="20"/>
        </w:rPr>
        <w:t xml:space="preserve">ur les abeilles </w:t>
      </w:r>
      <w:r w:rsidR="00106CDA" w:rsidRPr="00367C86">
        <w:rPr>
          <w:rStyle w:val="relative"/>
          <w:rFonts w:ascii="Arial" w:hAnsi="Arial" w:cs="Arial"/>
          <w:sz w:val="20"/>
          <w:szCs w:val="20"/>
        </w:rPr>
        <w:t xml:space="preserve">à partir de plusieurs études </w:t>
      </w:r>
      <w:r w:rsidRPr="00367C86">
        <w:rPr>
          <w:rStyle w:val="relative"/>
          <w:rFonts w:ascii="Arial" w:hAnsi="Arial" w:cs="Arial"/>
          <w:sz w:val="20"/>
          <w:szCs w:val="20"/>
        </w:rPr>
        <w:t>(</w:t>
      </w:r>
      <w:r w:rsidR="0076583F" w:rsidRPr="00367C86">
        <w:rPr>
          <w:rStyle w:val="relative"/>
          <w:rFonts w:ascii="Arial" w:hAnsi="Arial" w:cs="Arial"/>
          <w:sz w:val="20"/>
          <w:szCs w:val="20"/>
        </w:rPr>
        <w:t>annexe 18)</w:t>
      </w:r>
      <w:r w:rsidRPr="00367C86">
        <w:rPr>
          <w:rStyle w:val="relative"/>
          <w:rFonts w:ascii="Arial" w:hAnsi="Arial" w:cs="Arial"/>
          <w:sz w:val="20"/>
          <w:szCs w:val="20"/>
        </w:rPr>
        <w:t>.</w:t>
      </w:r>
      <w:r w:rsidR="00ED3ACB" w:rsidRPr="00367C86">
        <w:rPr>
          <w:rStyle w:val="relative"/>
          <w:rFonts w:ascii="Arial" w:hAnsi="Arial" w:cs="Arial"/>
          <w:sz w:val="20"/>
          <w:szCs w:val="20"/>
        </w:rPr>
        <w:t xml:space="preserve"> A noter : selon Vian et al.(2016), les hyperfréquences devraient être considérées comme un facteur environnemental non négligeable.</w:t>
      </w:r>
    </w:p>
    <w:p w:rsidR="009F39C5" w:rsidRPr="00367C86" w:rsidRDefault="00DB0E02" w:rsidP="009F3BB0">
      <w:pPr>
        <w:pStyle w:val="Paragraphedeliste"/>
        <w:numPr>
          <w:ilvl w:val="0"/>
          <w:numId w:val="17"/>
        </w:numPr>
        <w:spacing w:before="100" w:beforeAutospacing="1" w:after="100" w:afterAutospacing="1"/>
        <w:ind w:left="2127"/>
        <w:rPr>
          <w:rStyle w:val="relative"/>
          <w:rFonts w:ascii="Arial" w:hAnsi="Arial" w:cs="Arial"/>
          <w:sz w:val="20"/>
          <w:szCs w:val="20"/>
        </w:rPr>
      </w:pPr>
      <w:r w:rsidRPr="00367C86">
        <w:rPr>
          <w:rStyle w:val="relative"/>
          <w:rFonts w:ascii="Arial" w:hAnsi="Arial" w:cs="Arial"/>
          <w:sz w:val="20"/>
          <w:szCs w:val="20"/>
        </w:rPr>
        <w:t xml:space="preserve">Les travaux de Martin </w:t>
      </w:r>
      <w:r w:rsidR="009B39DA" w:rsidRPr="00367C86">
        <w:rPr>
          <w:rStyle w:val="relative"/>
          <w:rFonts w:ascii="Arial" w:hAnsi="Arial" w:cs="Arial"/>
          <w:sz w:val="20"/>
          <w:szCs w:val="20"/>
        </w:rPr>
        <w:t>L.</w:t>
      </w:r>
      <w:r w:rsidR="001E250A" w:rsidRPr="00367C86">
        <w:rPr>
          <w:rStyle w:val="relative"/>
          <w:rFonts w:ascii="Arial" w:hAnsi="Arial" w:cs="Arial"/>
          <w:sz w:val="20"/>
          <w:szCs w:val="20"/>
        </w:rPr>
        <w:t>Pall sur l’activation des</w:t>
      </w:r>
      <w:r w:rsidRPr="00367C86">
        <w:rPr>
          <w:rStyle w:val="relative"/>
          <w:rFonts w:ascii="Arial" w:hAnsi="Arial" w:cs="Arial"/>
          <w:sz w:val="20"/>
          <w:szCs w:val="20"/>
        </w:rPr>
        <w:t xml:space="preserve"> canaux calciques :</w:t>
      </w:r>
    </w:p>
    <w:p w:rsidR="00DB0E02" w:rsidRPr="00367C86" w:rsidRDefault="000129CB" w:rsidP="00367C86">
      <w:pPr>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E</w:t>
      </w:r>
      <w:r w:rsidR="009B39DA" w:rsidRPr="00367C86">
        <w:rPr>
          <w:rFonts w:ascii="Arial" w:eastAsia="Times New Roman" w:hAnsi="Arial" w:cs="Arial"/>
          <w:sz w:val="20"/>
          <w:szCs w:val="20"/>
          <w:lang w:eastAsia="fr-FR"/>
        </w:rPr>
        <w:t>nseignant</w:t>
      </w:r>
      <w:r w:rsidR="000603C9" w:rsidRPr="00367C86">
        <w:rPr>
          <w:rFonts w:ascii="Arial" w:eastAsia="Times New Roman" w:hAnsi="Arial" w:cs="Arial"/>
          <w:sz w:val="20"/>
          <w:szCs w:val="20"/>
          <w:lang w:eastAsia="fr-FR"/>
        </w:rPr>
        <w:t>-chercheur</w:t>
      </w:r>
      <w:r w:rsidR="009B39DA" w:rsidRPr="00367C86">
        <w:rPr>
          <w:rFonts w:ascii="Arial" w:eastAsia="Times New Roman" w:hAnsi="Arial" w:cs="Arial"/>
          <w:sz w:val="20"/>
          <w:szCs w:val="20"/>
          <w:lang w:eastAsia="fr-FR"/>
        </w:rPr>
        <w:t xml:space="preserve"> </w:t>
      </w:r>
      <w:r w:rsidR="00F96218" w:rsidRPr="00367C86">
        <w:rPr>
          <w:rFonts w:ascii="Arial" w:eastAsia="Times New Roman" w:hAnsi="Arial" w:cs="Arial"/>
          <w:sz w:val="20"/>
          <w:szCs w:val="20"/>
          <w:lang w:eastAsia="fr-FR"/>
        </w:rPr>
        <w:t xml:space="preserve">en biochimie, l’américain </w:t>
      </w:r>
      <w:r w:rsidR="00DB0E02" w:rsidRPr="00367C86">
        <w:rPr>
          <w:rFonts w:ascii="Arial" w:eastAsia="Times New Roman" w:hAnsi="Arial" w:cs="Arial"/>
          <w:sz w:val="20"/>
          <w:szCs w:val="20"/>
          <w:lang w:eastAsia="fr-FR"/>
        </w:rPr>
        <w:t xml:space="preserve">Martin </w:t>
      </w:r>
      <w:r w:rsidR="009B39DA" w:rsidRPr="00367C86">
        <w:rPr>
          <w:rFonts w:ascii="Arial" w:eastAsia="Times New Roman" w:hAnsi="Arial" w:cs="Arial"/>
          <w:sz w:val="20"/>
          <w:szCs w:val="20"/>
          <w:lang w:eastAsia="fr-FR"/>
        </w:rPr>
        <w:t>L.</w:t>
      </w:r>
      <w:r w:rsidR="00DB0E02" w:rsidRPr="00367C86">
        <w:rPr>
          <w:rFonts w:ascii="Arial" w:eastAsia="Times New Roman" w:hAnsi="Arial" w:cs="Arial"/>
          <w:sz w:val="20"/>
          <w:szCs w:val="20"/>
          <w:lang w:eastAsia="fr-FR"/>
        </w:rPr>
        <w:t xml:space="preserve">Pall travaille depuis de nombreuses années sur </w:t>
      </w:r>
      <w:r w:rsidR="00DB0E02" w:rsidRPr="00367C86">
        <w:rPr>
          <w:rFonts w:ascii="Arial" w:hAnsi="Arial" w:cs="Arial"/>
          <w:sz w:val="20"/>
          <w:szCs w:val="20"/>
        </w:rPr>
        <w:t>l'activation des canaux calc</w:t>
      </w:r>
      <w:r w:rsidR="000603C9" w:rsidRPr="00367C86">
        <w:rPr>
          <w:rFonts w:ascii="Arial" w:hAnsi="Arial" w:cs="Arial"/>
          <w:sz w:val="20"/>
          <w:szCs w:val="20"/>
        </w:rPr>
        <w:t xml:space="preserve">iques voltage-dépendants </w:t>
      </w:r>
      <w:r w:rsidR="009B39DA" w:rsidRPr="00367C86">
        <w:rPr>
          <w:rFonts w:ascii="Arial" w:hAnsi="Arial" w:cs="Arial"/>
          <w:sz w:val="20"/>
          <w:szCs w:val="20"/>
        </w:rPr>
        <w:t>et le stress oxydatif (</w:t>
      </w:r>
      <w:r w:rsidR="00753B74" w:rsidRPr="00367C86">
        <w:rPr>
          <w:rFonts w:ascii="Arial" w:hAnsi="Arial" w:cs="Arial"/>
          <w:sz w:val="20"/>
          <w:szCs w:val="20"/>
        </w:rPr>
        <w:t>activation du</w:t>
      </w:r>
      <w:r w:rsidR="009B39DA" w:rsidRPr="00367C86">
        <w:rPr>
          <w:rFonts w:ascii="Arial" w:hAnsi="Arial" w:cs="Arial"/>
          <w:sz w:val="20"/>
          <w:szCs w:val="20"/>
        </w:rPr>
        <w:t xml:space="preserve"> cycle NO/ONOO</w:t>
      </w:r>
      <w:r w:rsidR="009B39DA" w:rsidRPr="00367C86">
        <w:rPr>
          <w:rFonts w:ascii="Arial" w:cs="Arial"/>
          <w:sz w:val="20"/>
          <w:szCs w:val="20"/>
        </w:rPr>
        <w:t>⁻</w:t>
      </w:r>
      <w:r w:rsidR="009B39DA" w:rsidRPr="00367C86">
        <w:rPr>
          <w:rFonts w:ascii="Arial" w:hAnsi="Arial" w:cs="Arial"/>
          <w:sz w:val="20"/>
          <w:szCs w:val="20"/>
        </w:rPr>
        <w:t xml:space="preserve">) </w:t>
      </w:r>
      <w:r w:rsidR="00DB0E02" w:rsidRPr="00367C86">
        <w:rPr>
          <w:rFonts w:ascii="Arial" w:hAnsi="Arial" w:cs="Arial"/>
          <w:sz w:val="20"/>
          <w:szCs w:val="20"/>
        </w:rPr>
        <w:t>sous l’effet d’</w:t>
      </w:r>
      <w:r w:rsidR="00753B74" w:rsidRPr="00367C86">
        <w:rPr>
          <w:rFonts w:ascii="Arial" w:hAnsi="Arial" w:cs="Arial"/>
          <w:sz w:val="20"/>
          <w:szCs w:val="20"/>
        </w:rPr>
        <w:t>une exposition à des agents exogènes, à savoir</w:t>
      </w:r>
      <w:r w:rsidR="00DB0E02" w:rsidRPr="00367C86">
        <w:rPr>
          <w:rFonts w:ascii="Arial" w:hAnsi="Arial" w:cs="Arial"/>
          <w:sz w:val="20"/>
          <w:szCs w:val="20"/>
        </w:rPr>
        <w:t xml:space="preserve"> les radiofréquences</w:t>
      </w:r>
      <w:r w:rsidR="009B39DA" w:rsidRPr="00367C86">
        <w:rPr>
          <w:rFonts w:ascii="Arial" w:hAnsi="Arial" w:cs="Arial"/>
          <w:sz w:val="20"/>
          <w:szCs w:val="20"/>
        </w:rPr>
        <w:t xml:space="preserve"> mai</w:t>
      </w:r>
      <w:r w:rsidR="00753B74" w:rsidRPr="00367C86">
        <w:rPr>
          <w:rFonts w:ascii="Arial" w:hAnsi="Arial" w:cs="Arial"/>
          <w:sz w:val="20"/>
          <w:szCs w:val="20"/>
        </w:rPr>
        <w:t>s aussi des molécules chimiques</w:t>
      </w:r>
      <w:r w:rsidR="00DB0E02" w:rsidRPr="00367C86">
        <w:rPr>
          <w:rFonts w:ascii="Arial" w:hAnsi="Arial" w:cs="Arial"/>
          <w:sz w:val="20"/>
          <w:szCs w:val="20"/>
        </w:rPr>
        <w:t>.</w:t>
      </w:r>
      <w:r w:rsidR="009B39DA" w:rsidRPr="00367C86">
        <w:rPr>
          <w:rFonts w:ascii="Arial" w:hAnsi="Arial" w:cs="Arial"/>
          <w:sz w:val="20"/>
          <w:szCs w:val="20"/>
        </w:rPr>
        <w:t xml:space="preserve"> Sa dernière étude datant d’avril 2024</w:t>
      </w:r>
      <w:r w:rsidR="00ED3ACB" w:rsidRPr="00367C86">
        <w:rPr>
          <w:rStyle w:val="Appelnotedebasdep"/>
          <w:rFonts w:ascii="Arial" w:hAnsi="Arial" w:cs="Arial"/>
          <w:sz w:val="20"/>
          <w:szCs w:val="20"/>
        </w:rPr>
        <w:footnoteReference w:id="57"/>
      </w:r>
      <w:r w:rsidR="00ED3ACB" w:rsidRPr="00367C86">
        <w:rPr>
          <w:rFonts w:ascii="Arial" w:hAnsi="Arial" w:cs="Arial"/>
          <w:sz w:val="20"/>
          <w:szCs w:val="20"/>
        </w:rPr>
        <w:t xml:space="preserve"> </w:t>
      </w:r>
      <w:r w:rsidR="00753B74" w:rsidRPr="00367C86">
        <w:rPr>
          <w:rFonts w:ascii="Arial" w:hAnsi="Arial" w:cs="Arial"/>
          <w:sz w:val="20"/>
          <w:szCs w:val="20"/>
        </w:rPr>
        <w:t xml:space="preserve">fait ainsi le lien entre, notamment, l’exposition aux radiofréquences et </w:t>
      </w:r>
      <w:r w:rsidR="009B39DA" w:rsidRPr="00367C86">
        <w:rPr>
          <w:rFonts w:ascii="Arial" w:hAnsi="Arial" w:cs="Arial"/>
          <w:sz w:val="20"/>
          <w:szCs w:val="20"/>
        </w:rPr>
        <w:t>les troubles du spectre autistique</w:t>
      </w:r>
      <w:r w:rsidR="00753B74" w:rsidRPr="00367C86">
        <w:rPr>
          <w:rFonts w:ascii="Arial" w:hAnsi="Arial" w:cs="Arial"/>
          <w:sz w:val="20"/>
          <w:szCs w:val="20"/>
        </w:rPr>
        <w:t>. Auparavant, il avait également mis en cause ces mécanismes d’action dans l’apparition précoce de la maladie d’</w:t>
      </w:r>
      <w:r w:rsidR="000603C9" w:rsidRPr="00367C86">
        <w:rPr>
          <w:rFonts w:ascii="Arial" w:hAnsi="Arial" w:cs="Arial"/>
          <w:sz w:val="20"/>
          <w:szCs w:val="20"/>
        </w:rPr>
        <w:t>Alzheimer</w:t>
      </w:r>
      <w:r w:rsidRPr="00367C86">
        <w:rPr>
          <w:rFonts w:ascii="Arial" w:hAnsi="Arial" w:cs="Arial"/>
          <w:sz w:val="20"/>
          <w:szCs w:val="20"/>
        </w:rPr>
        <w:t xml:space="preserve"> (cf. une ébauche de proposition </w:t>
      </w:r>
      <w:r w:rsidRPr="00367C86">
        <w:rPr>
          <w:rFonts w:ascii="Arial" w:eastAsia="Times New Roman" w:hAnsi="Arial" w:cs="Arial"/>
          <w:sz w:val="20"/>
          <w:szCs w:val="20"/>
          <w:lang w:eastAsia="fr-FR"/>
        </w:rPr>
        <w:t xml:space="preserve">d’AOP </w:t>
      </w:r>
      <w:r w:rsidR="00753B74" w:rsidRPr="00367C86">
        <w:rPr>
          <w:rFonts w:ascii="Arial" w:eastAsia="Times New Roman" w:hAnsi="Arial" w:cs="Arial"/>
          <w:sz w:val="20"/>
          <w:szCs w:val="20"/>
          <w:lang w:eastAsia="fr-FR"/>
        </w:rPr>
        <w:t>à l’annexe 19</w:t>
      </w:r>
      <w:r w:rsidRPr="00367C86">
        <w:rPr>
          <w:rFonts w:ascii="Arial" w:eastAsia="Times New Roman" w:hAnsi="Arial" w:cs="Arial"/>
          <w:sz w:val="20"/>
          <w:szCs w:val="20"/>
          <w:lang w:eastAsia="fr-FR"/>
        </w:rPr>
        <w:t>)</w:t>
      </w:r>
      <w:r w:rsidR="00753B74" w:rsidRPr="00367C86">
        <w:rPr>
          <w:rFonts w:ascii="Arial" w:eastAsia="Times New Roman" w:hAnsi="Arial" w:cs="Arial"/>
          <w:sz w:val="20"/>
          <w:szCs w:val="20"/>
          <w:lang w:eastAsia="fr-FR"/>
        </w:rPr>
        <w:t>.</w:t>
      </w:r>
    </w:p>
    <w:p w:rsidR="00DB0E02" w:rsidRPr="00367C86" w:rsidRDefault="000129CB" w:rsidP="00367C86">
      <w:pPr>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Selon Martin L.Pall</w:t>
      </w:r>
      <w:r w:rsidR="00753B74" w:rsidRPr="00367C86">
        <w:rPr>
          <w:rFonts w:ascii="Arial" w:eastAsia="Times New Roman" w:hAnsi="Arial" w:cs="Arial"/>
          <w:sz w:val="20"/>
          <w:szCs w:val="20"/>
          <w:lang w:eastAsia="fr-FR"/>
        </w:rPr>
        <w:t>, l</w:t>
      </w:r>
      <w:r w:rsidR="00DB0E02" w:rsidRPr="00367C86">
        <w:rPr>
          <w:rFonts w:ascii="Arial" w:eastAsia="Times New Roman" w:hAnsi="Arial" w:cs="Arial"/>
          <w:sz w:val="20"/>
          <w:szCs w:val="20"/>
          <w:lang w:eastAsia="fr-FR"/>
        </w:rPr>
        <w:t xml:space="preserve">es </w:t>
      </w:r>
      <w:r w:rsidR="00753B74" w:rsidRPr="00367C86">
        <w:rPr>
          <w:rFonts w:ascii="Arial" w:eastAsia="Times New Roman" w:hAnsi="Arial" w:cs="Arial"/>
          <w:sz w:val="20"/>
          <w:szCs w:val="20"/>
          <w:lang w:eastAsia="fr-FR"/>
        </w:rPr>
        <w:t xml:space="preserve">champs électromagnétiques générés par les technologies sans fil peuvent activer les </w:t>
      </w:r>
      <w:r w:rsidR="00753B74" w:rsidRPr="00367C86">
        <w:rPr>
          <w:rFonts w:ascii="Arial" w:hAnsi="Arial" w:cs="Arial"/>
          <w:sz w:val="20"/>
          <w:szCs w:val="20"/>
        </w:rPr>
        <w:t>canaux calciques voltage-dépendants</w:t>
      </w:r>
      <w:r w:rsidR="00DB0E02" w:rsidRPr="00367C86">
        <w:rPr>
          <w:rFonts w:ascii="Arial" w:eastAsia="Times New Roman" w:hAnsi="Arial" w:cs="Arial"/>
          <w:sz w:val="20"/>
          <w:szCs w:val="20"/>
          <w:lang w:eastAsia="fr-FR"/>
        </w:rPr>
        <w:t>, entraînant une augmentation du calcium intracellulai</w:t>
      </w:r>
      <w:r w:rsidR="000603C9" w:rsidRPr="00367C86">
        <w:rPr>
          <w:rFonts w:ascii="Arial" w:eastAsia="Times New Roman" w:hAnsi="Arial" w:cs="Arial"/>
          <w:sz w:val="20"/>
          <w:szCs w:val="20"/>
          <w:lang w:eastAsia="fr-FR"/>
        </w:rPr>
        <w:t>re,</w:t>
      </w:r>
      <w:r w:rsidR="00753B74" w:rsidRPr="00367C86">
        <w:rPr>
          <w:rFonts w:ascii="Arial" w:eastAsia="Times New Roman" w:hAnsi="Arial" w:cs="Arial"/>
          <w:sz w:val="20"/>
          <w:szCs w:val="20"/>
          <w:lang w:eastAsia="fr-FR"/>
        </w:rPr>
        <w:t xml:space="preserve"> ce qui peut </w:t>
      </w:r>
      <w:r w:rsidR="00DB0E02" w:rsidRPr="00367C86">
        <w:rPr>
          <w:rFonts w:ascii="Arial" w:eastAsia="Times New Roman" w:hAnsi="Arial" w:cs="Arial"/>
          <w:sz w:val="20"/>
          <w:szCs w:val="20"/>
          <w:lang w:eastAsia="fr-FR"/>
        </w:rPr>
        <w:lastRenderedPageBreak/>
        <w:t>induire un stress oxydatif, une inflammati</w:t>
      </w:r>
      <w:r w:rsidR="00753B74" w:rsidRPr="00367C86">
        <w:rPr>
          <w:rFonts w:ascii="Arial" w:eastAsia="Times New Roman" w:hAnsi="Arial" w:cs="Arial"/>
          <w:sz w:val="20"/>
          <w:szCs w:val="20"/>
          <w:lang w:eastAsia="fr-FR"/>
        </w:rPr>
        <w:t xml:space="preserve">on et des dommages à l'ADN, </w:t>
      </w:r>
      <w:r w:rsidR="00DB0E02" w:rsidRPr="00367C86">
        <w:rPr>
          <w:rFonts w:ascii="Arial" w:eastAsia="Times New Roman" w:hAnsi="Arial" w:cs="Arial"/>
          <w:sz w:val="20"/>
          <w:szCs w:val="20"/>
          <w:lang w:eastAsia="fr-FR"/>
        </w:rPr>
        <w:t>processus associés à la neurodégénérescence observée dans la maladie d'Alzheimer.</w:t>
      </w:r>
      <w:r w:rsidR="00753B74" w:rsidRPr="00367C86">
        <w:rPr>
          <w:rFonts w:ascii="Arial" w:eastAsia="Times New Roman" w:hAnsi="Arial" w:cs="Arial"/>
          <w:sz w:val="20"/>
          <w:szCs w:val="20"/>
          <w:lang w:eastAsia="fr-FR"/>
        </w:rPr>
        <w:t xml:space="preserve"> Cycle vicieux, l’élévation</w:t>
      </w:r>
      <w:r w:rsidR="00DB0E02" w:rsidRPr="00367C86">
        <w:rPr>
          <w:rFonts w:ascii="Arial" w:eastAsia="Times New Roman" w:hAnsi="Arial" w:cs="Arial"/>
          <w:sz w:val="20"/>
          <w:szCs w:val="20"/>
          <w:lang w:eastAsia="fr-FR"/>
        </w:rPr>
        <w:t xml:space="preserve"> de </w:t>
      </w:r>
      <w:r w:rsidR="00753B74" w:rsidRPr="00367C86">
        <w:rPr>
          <w:rFonts w:ascii="Arial" w:eastAsia="Times New Roman" w:hAnsi="Arial" w:cs="Arial"/>
          <w:sz w:val="20"/>
          <w:szCs w:val="20"/>
          <w:lang w:eastAsia="fr-FR"/>
        </w:rPr>
        <w:t>calcium intracellulaire</w:t>
      </w:r>
      <w:r w:rsidR="005762AE" w:rsidRPr="00367C86">
        <w:rPr>
          <w:rFonts w:ascii="Arial" w:eastAsia="Times New Roman" w:hAnsi="Arial" w:cs="Arial"/>
          <w:sz w:val="20"/>
          <w:szCs w:val="20"/>
          <w:lang w:eastAsia="fr-FR"/>
        </w:rPr>
        <w:t xml:space="preserve"> peut augmenter la production d’un peptide en cause dans la formation des plaques amyloïdes</w:t>
      </w:r>
      <w:r w:rsidR="00DB0E02" w:rsidRPr="00367C86">
        <w:rPr>
          <w:rFonts w:ascii="Arial" w:eastAsia="Times New Roman" w:hAnsi="Arial" w:cs="Arial"/>
          <w:sz w:val="20"/>
          <w:szCs w:val="20"/>
          <w:lang w:eastAsia="fr-FR"/>
        </w:rPr>
        <w:t>, qui à son tour peut perturber davantage l'homéostasie calcique, créant un cycle auto-entretenu de dégénérescence neuronale.</w:t>
      </w:r>
    </w:p>
    <w:p w:rsidR="00DB0E02" w:rsidRPr="00367C86" w:rsidRDefault="00DB0E02" w:rsidP="00367C86">
      <w:pPr>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L'auteur cite des études épidémiologiques montrant une incidence accrue de la maladie d'Alzheimer chez les personnes expo</w:t>
      </w:r>
      <w:r w:rsidR="000603C9" w:rsidRPr="00367C86">
        <w:rPr>
          <w:rFonts w:ascii="Arial" w:eastAsia="Times New Roman" w:hAnsi="Arial" w:cs="Arial"/>
          <w:sz w:val="20"/>
          <w:szCs w:val="20"/>
          <w:lang w:eastAsia="fr-FR"/>
        </w:rPr>
        <w:t xml:space="preserve">sées professionnellement aux champs électromagnétiques </w:t>
      </w:r>
      <w:r w:rsidRPr="00367C86">
        <w:rPr>
          <w:rFonts w:ascii="Arial" w:eastAsia="Times New Roman" w:hAnsi="Arial" w:cs="Arial"/>
          <w:sz w:val="20"/>
          <w:szCs w:val="20"/>
          <w:lang w:eastAsia="fr-FR"/>
        </w:rPr>
        <w:t>ainsi que des études animales démontrant des effets neurodégénératifs suite à une exposition aux CEM.</w:t>
      </w:r>
    </w:p>
    <w:p w:rsidR="005762AE" w:rsidRPr="00367C86" w:rsidRDefault="00253F77" w:rsidP="009F3BB0">
      <w:pPr>
        <w:pStyle w:val="Paragraphedeliste"/>
        <w:numPr>
          <w:ilvl w:val="0"/>
          <w:numId w:val="17"/>
        </w:numPr>
        <w:spacing w:before="100" w:beforeAutospacing="1" w:after="100" w:afterAutospacing="1"/>
        <w:ind w:left="2127"/>
        <w:rPr>
          <w:rFonts w:ascii="Arial" w:eastAsia="Times New Roman" w:hAnsi="Arial" w:cs="Arial"/>
          <w:sz w:val="20"/>
          <w:szCs w:val="20"/>
          <w:lang w:eastAsia="fr-FR"/>
        </w:rPr>
      </w:pPr>
      <w:r w:rsidRPr="00367C86">
        <w:rPr>
          <w:rFonts w:ascii="Arial" w:eastAsia="Times New Roman" w:hAnsi="Arial" w:cs="Arial"/>
          <w:sz w:val="20"/>
          <w:szCs w:val="20"/>
          <w:lang w:eastAsia="fr-FR"/>
        </w:rPr>
        <w:t xml:space="preserve">Encore deux </w:t>
      </w:r>
      <w:r w:rsidR="005762AE" w:rsidRPr="00367C86">
        <w:rPr>
          <w:rFonts w:ascii="Arial" w:eastAsia="Times New Roman" w:hAnsi="Arial" w:cs="Arial"/>
          <w:sz w:val="20"/>
          <w:szCs w:val="20"/>
          <w:lang w:eastAsia="fr-FR"/>
        </w:rPr>
        <w:t>pas de côté</w:t>
      </w:r>
      <w:r w:rsidR="00D6793B" w:rsidRPr="00367C86">
        <w:rPr>
          <w:rFonts w:ascii="Arial" w:eastAsia="Times New Roman" w:hAnsi="Arial" w:cs="Arial"/>
          <w:sz w:val="20"/>
          <w:szCs w:val="20"/>
          <w:lang w:eastAsia="fr-FR"/>
        </w:rPr>
        <w:t>…</w:t>
      </w:r>
    </w:p>
    <w:p w:rsidR="005762AE" w:rsidRPr="00367C86" w:rsidRDefault="005762AE" w:rsidP="00367C86">
      <w:pPr>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 xml:space="preserve">- </w:t>
      </w:r>
      <w:r w:rsidR="00D85659" w:rsidRPr="00367C86">
        <w:rPr>
          <w:rFonts w:ascii="Arial" w:eastAsia="Times New Roman" w:hAnsi="Arial" w:cs="Arial"/>
          <w:sz w:val="20"/>
          <w:szCs w:val="20"/>
          <w:lang w:eastAsia="fr-FR"/>
        </w:rPr>
        <w:t xml:space="preserve">Sérendipité : ce mot désigne une découverte fortuite faite à l’occasion de recherches portant sur un autre sujet. C’est Archimède qui prend un bain, Isaac Newton sous un pommier, le chocolat qui fond dans la poche de celui qui inventera le micro-ondes, ou la pénicilline de Fleming…et c’est aussi le nouveau téléphone portable laissé par </w:t>
      </w:r>
      <w:r w:rsidR="00A150EA" w:rsidRPr="00367C86">
        <w:rPr>
          <w:rFonts w:ascii="Arial" w:eastAsia="Times New Roman" w:hAnsi="Arial" w:cs="Arial"/>
          <w:sz w:val="20"/>
          <w:szCs w:val="20"/>
          <w:lang w:eastAsia="fr-FR"/>
        </w:rPr>
        <w:t xml:space="preserve">le neurochirurgien </w:t>
      </w:r>
      <w:r w:rsidR="00D85659" w:rsidRPr="00367C86">
        <w:rPr>
          <w:rFonts w:ascii="Arial" w:eastAsia="Times New Roman" w:hAnsi="Arial" w:cs="Arial"/>
          <w:sz w:val="20"/>
          <w:szCs w:val="20"/>
          <w:lang w:eastAsia="fr-FR"/>
        </w:rPr>
        <w:t>Leif Salford à côté de la cage des rats sur lesquels il expérimentait jusqu’alors en vain la possibilité d’ouvrir la BHE pour y faire pénétrer des substances pharmaceutiques</w:t>
      </w:r>
      <w:r w:rsidR="005057A9" w:rsidRPr="00367C86">
        <w:rPr>
          <w:rFonts w:ascii="Arial" w:eastAsia="Times New Roman" w:hAnsi="Arial" w:cs="Arial"/>
          <w:sz w:val="20"/>
          <w:szCs w:val="20"/>
          <w:lang w:eastAsia="fr-FR"/>
        </w:rPr>
        <w:t> : Jag har det !</w:t>
      </w:r>
      <w:r w:rsidR="005057A9" w:rsidRPr="00367C86">
        <w:rPr>
          <w:rStyle w:val="Appelnotedebasdep"/>
          <w:rFonts w:ascii="Arial" w:eastAsia="Times New Roman" w:hAnsi="Arial" w:cs="Arial"/>
          <w:sz w:val="20"/>
          <w:szCs w:val="20"/>
          <w:lang w:eastAsia="fr-FR"/>
        </w:rPr>
        <w:footnoteReference w:id="58"/>
      </w:r>
      <w:r w:rsidR="005057A9" w:rsidRPr="00367C86">
        <w:rPr>
          <w:rFonts w:ascii="Arial" w:eastAsia="Times New Roman" w:hAnsi="Arial" w:cs="Arial"/>
          <w:sz w:val="20"/>
          <w:szCs w:val="20"/>
          <w:lang w:eastAsia="fr-FR"/>
        </w:rPr>
        <w:t xml:space="preserve"> </w:t>
      </w:r>
    </w:p>
    <w:p w:rsidR="00DE491F" w:rsidRPr="00367C86" w:rsidRDefault="00DE491F" w:rsidP="00367C86">
      <w:pPr>
        <w:spacing w:before="100" w:beforeAutospacing="1"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 xml:space="preserve">Les </w:t>
      </w:r>
      <w:r w:rsidR="00A150EA" w:rsidRPr="00367C86">
        <w:rPr>
          <w:rFonts w:ascii="Arial" w:eastAsia="Times New Roman" w:hAnsi="Arial" w:cs="Arial"/>
          <w:sz w:val="20"/>
          <w:szCs w:val="20"/>
          <w:lang w:eastAsia="fr-FR"/>
        </w:rPr>
        <w:t xml:space="preserve">études Salford et al. (2003) et Eberhardt et al. (2008) </w:t>
      </w:r>
      <w:r w:rsidRPr="00367C86">
        <w:rPr>
          <w:rFonts w:ascii="Arial" w:eastAsia="Times New Roman" w:hAnsi="Arial" w:cs="Arial"/>
          <w:sz w:val="20"/>
          <w:szCs w:val="20"/>
          <w:lang w:eastAsia="fr-FR"/>
        </w:rPr>
        <w:t xml:space="preserve">ont observé qu’une exposition à des hyperfréquences à des niveaux pourtant considérés comme protecteurs provoquent une </w:t>
      </w:r>
      <w:r w:rsidRPr="00367C86">
        <w:rPr>
          <w:rFonts w:ascii="Arial" w:eastAsia="Times New Roman" w:hAnsi="Arial" w:cs="Arial"/>
          <w:bCs/>
          <w:sz w:val="20"/>
          <w:szCs w:val="20"/>
          <w:lang w:eastAsia="fr-FR"/>
        </w:rPr>
        <w:t>augmentation de la perméabilité de la BHE</w:t>
      </w:r>
      <w:r w:rsidRPr="00367C86">
        <w:rPr>
          <w:rFonts w:ascii="Arial" w:eastAsia="Times New Roman" w:hAnsi="Arial" w:cs="Arial"/>
          <w:sz w:val="20"/>
          <w:szCs w:val="20"/>
          <w:lang w:eastAsia="fr-FR"/>
        </w:rPr>
        <w:t>, facilitant le passage de protéines comme l'albumine dans le tissu cérébral</w:t>
      </w:r>
      <w:r w:rsidR="00A150EA" w:rsidRPr="00367C86">
        <w:rPr>
          <w:rFonts w:ascii="Arial" w:eastAsia="Times New Roman" w:hAnsi="Arial" w:cs="Arial"/>
          <w:sz w:val="20"/>
          <w:szCs w:val="20"/>
          <w:lang w:eastAsia="fr-FR"/>
        </w:rPr>
        <w:t>, créant des dommages neuronaux</w:t>
      </w:r>
      <w:r w:rsidRPr="00367C86">
        <w:rPr>
          <w:rFonts w:ascii="Arial" w:eastAsia="Times New Roman" w:hAnsi="Arial" w:cs="Arial"/>
          <w:sz w:val="20"/>
          <w:szCs w:val="20"/>
          <w:lang w:eastAsia="fr-FR"/>
        </w:rPr>
        <w:t xml:space="preserve">. Ces effets ont été observés </w:t>
      </w:r>
      <w:r w:rsidRPr="00367C86">
        <w:rPr>
          <w:rFonts w:ascii="Arial" w:eastAsia="Times New Roman" w:hAnsi="Arial" w:cs="Arial"/>
          <w:bCs/>
          <w:sz w:val="20"/>
          <w:szCs w:val="20"/>
          <w:lang w:eastAsia="fr-FR"/>
        </w:rPr>
        <w:t>immédiatement après l'exposition</w:t>
      </w:r>
      <w:r w:rsidRPr="00367C86">
        <w:rPr>
          <w:rFonts w:ascii="Arial" w:eastAsia="Times New Roman" w:hAnsi="Arial" w:cs="Arial"/>
          <w:sz w:val="20"/>
          <w:szCs w:val="20"/>
          <w:lang w:eastAsia="fr-FR"/>
        </w:rPr>
        <w:t xml:space="preserve"> mais également </w:t>
      </w:r>
      <w:r w:rsidR="00A150EA" w:rsidRPr="00367C86">
        <w:rPr>
          <w:rFonts w:ascii="Arial" w:eastAsia="Times New Roman" w:hAnsi="Arial" w:cs="Arial"/>
          <w:bCs/>
          <w:sz w:val="20"/>
          <w:szCs w:val="20"/>
          <w:lang w:eastAsia="fr-FR"/>
        </w:rPr>
        <w:t>28 jours plus tard</w:t>
      </w:r>
      <w:r w:rsidRPr="00367C86">
        <w:rPr>
          <w:rFonts w:ascii="Arial" w:eastAsia="Times New Roman" w:hAnsi="Arial" w:cs="Arial"/>
          <w:sz w:val="20"/>
          <w:szCs w:val="20"/>
          <w:lang w:eastAsia="fr-FR"/>
        </w:rPr>
        <w:t>, d’où une hypothèse de conséquences potentielles à long terme.</w:t>
      </w:r>
    </w:p>
    <w:p w:rsidR="00253F77" w:rsidRPr="00367C86" w:rsidRDefault="005057A9" w:rsidP="00367C86">
      <w:pPr>
        <w:shd w:val="clear" w:color="auto" w:fill="FFFFFF"/>
        <w:ind w:left="0" w:firstLine="0"/>
        <w:textAlignment w:val="baseline"/>
        <w:rPr>
          <w:rFonts w:ascii="Arial" w:hAnsi="Arial" w:cs="Arial"/>
          <w:sz w:val="20"/>
          <w:szCs w:val="20"/>
        </w:rPr>
      </w:pPr>
      <w:r w:rsidRPr="00367C86">
        <w:rPr>
          <w:rFonts w:ascii="Arial" w:eastAsia="Times New Roman" w:hAnsi="Arial" w:cs="Arial"/>
          <w:sz w:val="20"/>
          <w:szCs w:val="20"/>
          <w:lang w:eastAsia="fr-FR"/>
        </w:rPr>
        <w:t>-</w:t>
      </w:r>
      <w:r w:rsidR="00253F77" w:rsidRPr="00367C86">
        <w:rPr>
          <w:rFonts w:ascii="Arial" w:eastAsia="Times New Roman" w:hAnsi="Arial" w:cs="Arial"/>
          <w:sz w:val="20"/>
          <w:szCs w:val="20"/>
          <w:lang w:eastAsia="fr-FR"/>
        </w:rPr>
        <w:t xml:space="preserve"> </w:t>
      </w:r>
      <w:r w:rsidR="00253F77" w:rsidRPr="00367C86">
        <w:rPr>
          <w:rFonts w:ascii="Arial" w:hAnsi="Arial" w:cs="Arial"/>
          <w:sz w:val="20"/>
          <w:szCs w:val="20"/>
        </w:rPr>
        <w:t xml:space="preserve">Hu et al., </w:t>
      </w:r>
      <w:r w:rsidR="00D6793B" w:rsidRPr="00367C86">
        <w:rPr>
          <w:rFonts w:ascii="Arial" w:hAnsi="Arial" w:cs="Arial"/>
          <w:sz w:val="20"/>
          <w:szCs w:val="20"/>
        </w:rPr>
        <w:t>(</w:t>
      </w:r>
      <w:r w:rsidR="00253F77" w:rsidRPr="00367C86">
        <w:rPr>
          <w:rFonts w:ascii="Arial" w:hAnsi="Arial" w:cs="Arial"/>
          <w:sz w:val="20"/>
          <w:szCs w:val="20"/>
        </w:rPr>
        <w:t>2021</w:t>
      </w:r>
      <w:r w:rsidR="00D6793B" w:rsidRPr="00367C86">
        <w:rPr>
          <w:rFonts w:ascii="Arial" w:hAnsi="Arial" w:cs="Arial"/>
          <w:sz w:val="20"/>
          <w:szCs w:val="20"/>
        </w:rPr>
        <w:t>) : cette r</w:t>
      </w:r>
      <w:r w:rsidR="00253F77" w:rsidRPr="00367C86">
        <w:rPr>
          <w:rFonts w:ascii="Arial" w:hAnsi="Arial" w:cs="Arial"/>
          <w:sz w:val="20"/>
          <w:szCs w:val="20"/>
        </w:rPr>
        <w:t>evue de littérature résumant les effets des radiofréquences sur les neurotransmetteurs dans le cerveau</w:t>
      </w:r>
      <w:r w:rsidR="00D6793B" w:rsidRPr="00367C86">
        <w:rPr>
          <w:rFonts w:ascii="Arial" w:hAnsi="Arial" w:cs="Arial"/>
          <w:sz w:val="20"/>
          <w:szCs w:val="20"/>
        </w:rPr>
        <w:t xml:space="preserve"> a également retenu mon attention. </w:t>
      </w:r>
      <w:r w:rsidR="00253F77" w:rsidRPr="00367C86">
        <w:rPr>
          <w:rFonts w:ascii="Arial" w:hAnsi="Arial" w:cs="Arial"/>
          <w:sz w:val="20"/>
          <w:szCs w:val="20"/>
        </w:rPr>
        <w:t>42 études analysées indiquent que les radiofréquences peuvent être un perturbateur métabolique de</w:t>
      </w:r>
      <w:r w:rsidR="00830544">
        <w:rPr>
          <w:rFonts w:ascii="Arial" w:hAnsi="Arial" w:cs="Arial"/>
          <w:sz w:val="20"/>
          <w:szCs w:val="20"/>
        </w:rPr>
        <w:t xml:space="preserve">s neurotransmetteurs </w:t>
      </w:r>
      <w:r w:rsidR="00253F77" w:rsidRPr="00367C86">
        <w:rPr>
          <w:rFonts w:ascii="Arial" w:hAnsi="Arial" w:cs="Arial"/>
          <w:sz w:val="20"/>
          <w:szCs w:val="20"/>
        </w:rPr>
        <w:t>(</w:t>
      </w:r>
      <w:r w:rsidR="00830544">
        <w:rPr>
          <w:rFonts w:ascii="Arial" w:hAnsi="Arial" w:cs="Arial"/>
          <w:sz w:val="20"/>
          <w:szCs w:val="20"/>
        </w:rPr>
        <w:t xml:space="preserve">dont des monoamines : </w:t>
      </w:r>
      <w:r w:rsidR="00253F77" w:rsidRPr="00367C86">
        <w:rPr>
          <w:rFonts w:ascii="Arial" w:hAnsi="Arial" w:cs="Arial"/>
          <w:sz w:val="20"/>
          <w:szCs w:val="20"/>
        </w:rPr>
        <w:t xml:space="preserve">dopamine, sérotonine, </w:t>
      </w:r>
      <w:r w:rsidR="00830544">
        <w:rPr>
          <w:rFonts w:ascii="Arial" w:hAnsi="Arial" w:cs="Arial"/>
          <w:sz w:val="20"/>
          <w:szCs w:val="20"/>
        </w:rPr>
        <w:t xml:space="preserve">noradrénaline ; ainsi que </w:t>
      </w:r>
      <w:r w:rsidR="00253F77" w:rsidRPr="00367C86">
        <w:rPr>
          <w:rFonts w:ascii="Arial" w:hAnsi="Arial" w:cs="Arial"/>
          <w:sz w:val="20"/>
          <w:szCs w:val="20"/>
        </w:rPr>
        <w:t xml:space="preserve">glutamate, acétylcholine, peptides et GABA), en fonction de l’intensité de l’exposition, et que cela pourrait entrainer des modifications des réactions émotionnelles. A noter : le GABA est </w:t>
      </w:r>
      <w:r w:rsidR="00253F77" w:rsidRPr="00367C86">
        <w:rPr>
          <w:rFonts w:ascii="Arial" w:hAnsi="Arial" w:cs="Arial"/>
          <w:sz w:val="20"/>
          <w:szCs w:val="20"/>
          <w:shd w:val="clear" w:color="auto" w:fill="FFFFFF"/>
        </w:rPr>
        <w:t>le principal neurotransmetteur inhibiteur du système nerveux central chez les mammifères et les oiseaux. Chez les insectes, il est présent dans tout l'organisme</w:t>
      </w:r>
      <w:r w:rsidR="00253F77" w:rsidRPr="00367C86">
        <w:rPr>
          <w:rStyle w:val="Appelnotedebasdep"/>
          <w:rFonts w:ascii="Arial" w:hAnsi="Arial" w:cs="Arial"/>
          <w:sz w:val="20"/>
          <w:szCs w:val="20"/>
          <w:shd w:val="clear" w:color="auto" w:fill="FFFFFF"/>
        </w:rPr>
        <w:footnoteReference w:id="59"/>
      </w:r>
      <w:r w:rsidR="00253F77" w:rsidRPr="00367C86">
        <w:rPr>
          <w:rFonts w:ascii="Arial" w:hAnsi="Arial" w:cs="Arial"/>
          <w:sz w:val="20"/>
          <w:szCs w:val="20"/>
        </w:rPr>
        <w:t xml:space="preserve">: </w:t>
      </w:r>
    </w:p>
    <w:p w:rsidR="00253F77" w:rsidRPr="00367C86" w:rsidRDefault="00253F77" w:rsidP="00367C86">
      <w:pPr>
        <w:ind w:left="0" w:firstLine="0"/>
        <w:rPr>
          <w:rFonts w:ascii="Arial" w:hAnsi="Arial" w:cs="Arial"/>
          <w:sz w:val="20"/>
          <w:szCs w:val="20"/>
        </w:rPr>
      </w:pPr>
    </w:p>
    <w:p w:rsidR="00253F77" w:rsidRPr="00367C86" w:rsidRDefault="00253F77" w:rsidP="00367C86">
      <w:pPr>
        <w:ind w:left="0" w:firstLine="0"/>
        <w:rPr>
          <w:rFonts w:ascii="Arial" w:hAnsi="Arial" w:cs="Arial"/>
          <w:sz w:val="20"/>
          <w:szCs w:val="20"/>
        </w:rPr>
      </w:pPr>
      <w:r w:rsidRPr="00367C86">
        <w:rPr>
          <w:rFonts w:ascii="Arial" w:hAnsi="Arial" w:cs="Arial"/>
          <w:sz w:val="20"/>
          <w:szCs w:val="20"/>
        </w:rPr>
        <w:t>Discussion :</w:t>
      </w:r>
    </w:p>
    <w:p w:rsidR="00253F77" w:rsidRPr="00367C86" w:rsidRDefault="00253F77" w:rsidP="00367C86">
      <w:pPr>
        <w:ind w:left="0" w:firstLine="0"/>
        <w:rPr>
          <w:rFonts w:ascii="Arial" w:hAnsi="Arial" w:cs="Arial"/>
          <w:sz w:val="20"/>
          <w:szCs w:val="20"/>
        </w:rPr>
      </w:pPr>
      <w:r w:rsidRPr="00367C86">
        <w:rPr>
          <w:rFonts w:ascii="Arial" w:hAnsi="Arial" w:cs="Arial"/>
          <w:sz w:val="20"/>
          <w:szCs w:val="20"/>
        </w:rPr>
        <w:t xml:space="preserve">8 études n’indiquent pas la bande de fréquence d’exposition, comme si seules l’intensité, la puissance et la durée étaient signifiantes, pas la bande de fréquence elle-même. Les études pour lesquelles les bandes de fréquences sont indiquées (34 études soit 81%), ne sont faites que sur une seule fréquence (toujours à signal découpé). Or, </w:t>
      </w:r>
      <w:r w:rsidR="00D6793B" w:rsidRPr="00367C86">
        <w:rPr>
          <w:rFonts w:ascii="Arial" w:hAnsi="Arial" w:cs="Arial"/>
          <w:sz w:val="20"/>
          <w:szCs w:val="20"/>
        </w:rPr>
        <w:t>il semblerait qu’il y ait un consensus en toxicologie selon lequel l’approche classique substance chimique par substance chimique pour l’évaluation du risque pourrait être trop simlpliste et sous-estimer le risque pour la santé humaine et l’environnnement. Ce raisonnement ne pourrait-il pas s’appliquer également aux radiofréquences</w:t>
      </w:r>
      <w:r w:rsidR="00830544">
        <w:rPr>
          <w:rFonts w:ascii="Arial" w:hAnsi="Arial" w:cs="Arial"/>
          <w:sz w:val="20"/>
          <w:szCs w:val="20"/>
        </w:rPr>
        <w:t> ?</w:t>
      </w:r>
    </w:p>
    <w:p w:rsidR="00253F77" w:rsidRPr="00367C86" w:rsidRDefault="00253F77" w:rsidP="00367C86">
      <w:pPr>
        <w:ind w:left="0" w:firstLine="0"/>
        <w:rPr>
          <w:rFonts w:ascii="Arial" w:hAnsi="Arial" w:cs="Arial"/>
          <w:sz w:val="20"/>
          <w:szCs w:val="20"/>
        </w:rPr>
      </w:pPr>
      <w:r w:rsidRPr="00367C86">
        <w:rPr>
          <w:rFonts w:ascii="Arial" w:hAnsi="Arial" w:cs="Arial"/>
          <w:sz w:val="20"/>
          <w:szCs w:val="20"/>
        </w:rPr>
        <w:t>Par ailleurs, 22 études portent sur des expositions aigües (de 0.5 s à 1 heure) ou subaigües (1h/jour durant 1 mois) et 20 sur des expositions chroniques : de 5 minutes à 18 heures par jour, d’une semaine à 4 mois. Deux exemples : 2.45GHz, 1h/day for 28 consecutive days pour Gupta et al.,2018; 30mW/cm2 for 5 min/day, 5 days/week, 2months pour Wang et al., 2016 -&gt; aucune des expositions ne correspond à l’exposition réelle (cocktail de bandes de fréquences, 24/7, de la vie intra-utérine jusqu’à la mort), qu’elle soit humaine ou environnementale.</w:t>
      </w:r>
    </w:p>
    <w:p w:rsidR="00916E6D" w:rsidRPr="00367C86" w:rsidRDefault="000603C9" w:rsidP="00367C86">
      <w:pPr>
        <w:tabs>
          <w:tab w:val="left" w:pos="1122"/>
        </w:tabs>
        <w:spacing w:before="100" w:beforeAutospacing="1" w:after="100" w:afterAutospacing="1"/>
        <w:ind w:left="0" w:firstLine="0"/>
        <w:rPr>
          <w:rFonts w:ascii="Arial" w:hAnsi="Arial" w:cs="Arial"/>
          <w:sz w:val="20"/>
          <w:szCs w:val="20"/>
        </w:rPr>
      </w:pPr>
      <w:r w:rsidRPr="00367C86">
        <w:rPr>
          <w:rStyle w:val="relative"/>
          <w:rFonts w:ascii="Arial" w:hAnsi="Arial" w:cs="Arial"/>
          <w:sz w:val="20"/>
          <w:szCs w:val="20"/>
        </w:rPr>
        <w:t xml:space="preserve">Ces </w:t>
      </w:r>
      <w:r w:rsidR="005762AE" w:rsidRPr="00367C86">
        <w:rPr>
          <w:rStyle w:val="relative"/>
          <w:rFonts w:ascii="Arial" w:hAnsi="Arial" w:cs="Arial"/>
          <w:sz w:val="20"/>
          <w:szCs w:val="20"/>
        </w:rPr>
        <w:t xml:space="preserve">hypothèses sont innovantes : </w:t>
      </w:r>
      <w:r w:rsidRPr="00367C86">
        <w:rPr>
          <w:rStyle w:val="relative"/>
          <w:rFonts w:ascii="Arial" w:hAnsi="Arial" w:cs="Arial"/>
          <w:sz w:val="20"/>
          <w:szCs w:val="20"/>
        </w:rPr>
        <w:t>face à un phénomène récent lui-même innovant, la science n</w:t>
      </w:r>
      <w:r w:rsidR="00916E6D" w:rsidRPr="00367C86">
        <w:rPr>
          <w:rStyle w:val="relative"/>
          <w:rFonts w:ascii="Arial" w:hAnsi="Arial" w:cs="Arial"/>
          <w:sz w:val="20"/>
          <w:szCs w:val="20"/>
        </w:rPr>
        <w:t>e peut en rester à</w:t>
      </w:r>
      <w:r w:rsidRPr="00367C86">
        <w:rPr>
          <w:rStyle w:val="relative"/>
          <w:rFonts w:ascii="Arial" w:hAnsi="Arial" w:cs="Arial"/>
          <w:sz w:val="20"/>
          <w:szCs w:val="20"/>
        </w:rPr>
        <w:t xml:space="preserve"> d</w:t>
      </w:r>
      <w:r w:rsidR="00916E6D" w:rsidRPr="00367C86">
        <w:rPr>
          <w:rStyle w:val="relative"/>
          <w:rFonts w:ascii="Arial" w:hAnsi="Arial" w:cs="Arial"/>
          <w:sz w:val="20"/>
          <w:szCs w:val="20"/>
        </w:rPr>
        <w:t>es</w:t>
      </w:r>
      <w:r w:rsidRPr="00367C86">
        <w:rPr>
          <w:rStyle w:val="relative"/>
          <w:rFonts w:ascii="Arial" w:hAnsi="Arial" w:cs="Arial"/>
          <w:sz w:val="20"/>
          <w:szCs w:val="20"/>
        </w:rPr>
        <w:t xml:space="preserve"> revues systématiques de faible portée parce que basées sur des études primaires </w:t>
      </w:r>
      <w:r w:rsidR="00916E6D" w:rsidRPr="00367C86">
        <w:rPr>
          <w:rStyle w:val="relative"/>
          <w:rFonts w:ascii="Arial" w:hAnsi="Arial" w:cs="Arial"/>
          <w:sz w:val="20"/>
          <w:szCs w:val="20"/>
        </w:rPr>
        <w:t xml:space="preserve">hétérogènes et faibles méthodologiquement. </w:t>
      </w:r>
    </w:p>
    <w:p w:rsidR="005F2D67" w:rsidRDefault="00B40CC6" w:rsidP="00367C86">
      <w:pPr>
        <w:tabs>
          <w:tab w:val="left" w:pos="1122"/>
        </w:tabs>
        <w:spacing w:before="100" w:beforeAutospacing="1" w:after="100" w:afterAutospacing="1"/>
        <w:ind w:left="0" w:firstLine="0"/>
        <w:rPr>
          <w:rFonts w:ascii="Arial" w:hAnsi="Arial" w:cs="Arial"/>
          <w:sz w:val="20"/>
          <w:szCs w:val="20"/>
        </w:rPr>
      </w:pPr>
      <w:r w:rsidRPr="00367C86">
        <w:rPr>
          <w:rFonts w:ascii="Arial" w:hAnsi="Arial" w:cs="Arial"/>
          <w:sz w:val="20"/>
          <w:szCs w:val="20"/>
        </w:rPr>
        <w:t>Prises t</w:t>
      </w:r>
      <w:r w:rsidR="002003ED" w:rsidRPr="00367C86">
        <w:rPr>
          <w:rFonts w:ascii="Arial" w:hAnsi="Arial" w:cs="Arial"/>
          <w:sz w:val="20"/>
          <w:szCs w:val="20"/>
        </w:rPr>
        <w:t>outes ensemble, la somme de ces observations, ne sembleraient</w:t>
      </w:r>
      <w:r w:rsidR="00F3689F" w:rsidRPr="00367C86">
        <w:rPr>
          <w:rFonts w:ascii="Arial" w:hAnsi="Arial" w:cs="Arial"/>
          <w:sz w:val="20"/>
          <w:szCs w:val="20"/>
        </w:rPr>
        <w:t>-elles</w:t>
      </w:r>
      <w:r w:rsidR="002003ED" w:rsidRPr="00367C86">
        <w:rPr>
          <w:rFonts w:ascii="Arial" w:hAnsi="Arial" w:cs="Arial"/>
          <w:sz w:val="20"/>
          <w:szCs w:val="20"/>
        </w:rPr>
        <w:t xml:space="preserve"> pas avoir quelque chose</w:t>
      </w:r>
      <w:r w:rsidR="00F3689F" w:rsidRPr="00367C86">
        <w:rPr>
          <w:rFonts w:ascii="Arial" w:hAnsi="Arial" w:cs="Arial"/>
          <w:sz w:val="20"/>
          <w:szCs w:val="20"/>
        </w:rPr>
        <w:t xml:space="preserve"> en commun</w:t>
      </w:r>
      <w:r w:rsidRPr="00367C86">
        <w:rPr>
          <w:rFonts w:ascii="Arial" w:hAnsi="Arial" w:cs="Arial"/>
          <w:sz w:val="20"/>
          <w:szCs w:val="20"/>
        </w:rPr>
        <w:t> ?</w:t>
      </w:r>
      <w:r w:rsidR="00F3689F" w:rsidRPr="00367C86">
        <w:rPr>
          <w:rFonts w:ascii="Arial" w:hAnsi="Arial" w:cs="Arial"/>
          <w:sz w:val="20"/>
          <w:szCs w:val="20"/>
        </w:rPr>
        <w:t xml:space="preserve"> </w:t>
      </w:r>
    </w:p>
    <w:p w:rsidR="00ED297D" w:rsidRDefault="00ED297D" w:rsidP="00367C86">
      <w:pPr>
        <w:tabs>
          <w:tab w:val="left" w:pos="1122"/>
        </w:tabs>
        <w:spacing w:before="100" w:beforeAutospacing="1" w:after="100" w:afterAutospacing="1"/>
        <w:ind w:left="0" w:firstLine="0"/>
        <w:rPr>
          <w:rFonts w:ascii="Arial" w:hAnsi="Arial" w:cs="Arial"/>
          <w:sz w:val="20"/>
          <w:szCs w:val="20"/>
        </w:rPr>
      </w:pPr>
      <w:r w:rsidRPr="00367C86">
        <w:rPr>
          <w:rFonts w:ascii="Arial" w:hAnsi="Arial" w:cs="Arial"/>
          <w:sz w:val="20"/>
          <w:szCs w:val="20"/>
        </w:rPr>
        <w:lastRenderedPageBreak/>
        <w:t>Au fil de nos lectures, nous</w:t>
      </w:r>
      <w:r w:rsidR="005F2D67">
        <w:rPr>
          <w:rFonts w:ascii="Arial" w:hAnsi="Arial" w:cs="Arial"/>
          <w:sz w:val="20"/>
          <w:szCs w:val="20"/>
        </w:rPr>
        <w:t xml:space="preserve"> avons retenu quelques éléments</w:t>
      </w:r>
      <w:r w:rsidRPr="00367C86">
        <w:rPr>
          <w:rFonts w:ascii="Arial" w:hAnsi="Arial" w:cs="Arial"/>
          <w:sz w:val="20"/>
          <w:szCs w:val="20"/>
        </w:rPr>
        <w:t xml:space="preserve"> qui nous ont semblé intéressants d’un point de vue méthodologique, les voici.</w:t>
      </w:r>
    </w:p>
    <w:p w:rsidR="00B40CC6" w:rsidRPr="00367C86" w:rsidRDefault="00F3689F" w:rsidP="00367C86">
      <w:pPr>
        <w:tabs>
          <w:tab w:val="left" w:pos="1122"/>
        </w:tabs>
        <w:spacing w:before="100" w:beforeAutospacing="1" w:after="100" w:afterAutospacing="1"/>
        <w:ind w:left="0" w:firstLine="0"/>
        <w:rPr>
          <w:rFonts w:ascii="Arial" w:hAnsi="Arial" w:cs="Arial"/>
          <w:sz w:val="20"/>
          <w:szCs w:val="20"/>
        </w:rPr>
      </w:pPr>
      <w:r w:rsidRPr="00367C86">
        <w:rPr>
          <w:rFonts w:ascii="Arial" w:hAnsi="Arial" w:cs="Arial"/>
          <w:sz w:val="20"/>
          <w:szCs w:val="20"/>
          <w:u w:val="single"/>
        </w:rPr>
        <w:t xml:space="preserve">L’hypothèse </w:t>
      </w:r>
      <w:r w:rsidR="00B40CC6" w:rsidRPr="00367C86">
        <w:rPr>
          <w:rFonts w:ascii="Arial" w:hAnsi="Arial" w:cs="Arial"/>
          <w:sz w:val="20"/>
          <w:szCs w:val="20"/>
          <w:u w:val="single"/>
        </w:rPr>
        <w:t>Toc</w:t>
      </w:r>
      <w:r w:rsidRPr="00367C86">
        <w:rPr>
          <w:rFonts w:ascii="Arial" w:hAnsi="Arial" w:cs="Arial"/>
          <w:sz w:val="20"/>
          <w:szCs w:val="20"/>
          <w:u w:val="single"/>
        </w:rPr>
        <w:t> !</w:t>
      </w:r>
      <w:r w:rsidR="00B40CC6" w:rsidRPr="00367C86">
        <w:rPr>
          <w:rFonts w:ascii="Arial" w:hAnsi="Arial" w:cs="Arial"/>
          <w:sz w:val="20"/>
          <w:szCs w:val="20"/>
          <w:u w:val="single"/>
        </w:rPr>
        <w:t>Toc</w:t>
      </w:r>
      <w:r w:rsidRPr="00367C86">
        <w:rPr>
          <w:rFonts w:ascii="Arial" w:hAnsi="Arial" w:cs="Arial"/>
          <w:sz w:val="20"/>
          <w:szCs w:val="20"/>
          <w:u w:val="single"/>
        </w:rPr>
        <w:t> !</w:t>
      </w:r>
      <w:r w:rsidR="00B40CC6" w:rsidRPr="00367C86">
        <w:rPr>
          <w:rFonts w:ascii="Arial" w:hAnsi="Arial" w:cs="Arial"/>
          <w:sz w:val="20"/>
          <w:szCs w:val="20"/>
          <w:u w:val="single"/>
        </w:rPr>
        <w:t>Toc</w:t>
      </w:r>
      <w:r w:rsidRPr="00367C86">
        <w:rPr>
          <w:rFonts w:ascii="Arial" w:hAnsi="Arial" w:cs="Arial"/>
          <w:sz w:val="20"/>
          <w:szCs w:val="20"/>
          <w:u w:val="single"/>
        </w:rPr>
        <w:t> !</w:t>
      </w:r>
      <w:r w:rsidR="00B40CC6" w:rsidRPr="00367C86">
        <w:rPr>
          <w:rFonts w:ascii="Arial" w:hAnsi="Arial" w:cs="Arial"/>
          <w:sz w:val="20"/>
          <w:szCs w:val="20"/>
          <w:u w:val="single"/>
        </w:rPr>
        <w:t>Toc</w:t>
      </w:r>
      <w:r w:rsidRPr="00367C86">
        <w:rPr>
          <w:rFonts w:ascii="Arial" w:hAnsi="Arial" w:cs="Arial"/>
          <w:sz w:val="20"/>
          <w:szCs w:val="20"/>
          <w:u w:val="single"/>
        </w:rPr>
        <w:t> !</w:t>
      </w:r>
      <w:r w:rsidR="00B40CC6" w:rsidRPr="00367C86">
        <w:rPr>
          <w:rFonts w:ascii="Arial" w:hAnsi="Arial" w:cs="Arial"/>
          <w:sz w:val="20"/>
          <w:szCs w:val="20"/>
          <w:u w:val="single"/>
        </w:rPr>
        <w:t>Toc</w:t>
      </w:r>
      <w:r w:rsidRPr="00367C86">
        <w:rPr>
          <w:rFonts w:ascii="Arial" w:hAnsi="Arial" w:cs="Arial"/>
          <w:sz w:val="20"/>
          <w:szCs w:val="20"/>
          <w:u w:val="single"/>
        </w:rPr>
        <w:t> !</w:t>
      </w:r>
      <w:r w:rsidR="00B40CC6" w:rsidRPr="00367C86">
        <w:rPr>
          <w:rFonts w:ascii="Arial" w:hAnsi="Arial" w:cs="Arial"/>
          <w:sz w:val="20"/>
          <w:szCs w:val="20"/>
          <w:u w:val="single"/>
        </w:rPr>
        <w:t>Toc</w:t>
      </w:r>
      <w:r w:rsidRPr="00367C86">
        <w:rPr>
          <w:rFonts w:ascii="Arial" w:hAnsi="Arial" w:cs="Arial"/>
          <w:sz w:val="20"/>
          <w:szCs w:val="20"/>
          <w:u w:val="single"/>
        </w:rPr>
        <w:t> !</w:t>
      </w:r>
      <w:r w:rsidR="00B40CC6" w:rsidRPr="00367C86">
        <w:rPr>
          <w:rFonts w:ascii="Arial" w:hAnsi="Arial" w:cs="Arial"/>
          <w:sz w:val="20"/>
          <w:szCs w:val="20"/>
          <w:u w:val="single"/>
        </w:rPr>
        <w:t>Toc ! Ouvrez la porte !</w:t>
      </w:r>
      <w:r w:rsidRPr="00367C86">
        <w:rPr>
          <w:rFonts w:ascii="Arial" w:hAnsi="Arial" w:cs="Arial"/>
          <w:sz w:val="20"/>
          <w:szCs w:val="20"/>
        </w:rPr>
        <w:t> :</w:t>
      </w:r>
      <w:r w:rsidR="00F43255" w:rsidRPr="00367C86">
        <w:rPr>
          <w:rFonts w:ascii="Arial" w:hAnsi="Arial" w:cs="Arial"/>
          <w:sz w:val="20"/>
          <w:szCs w:val="20"/>
        </w:rPr>
        <w:t xml:space="preserve"> </w:t>
      </w:r>
    </w:p>
    <w:p w:rsidR="00BA3026" w:rsidRPr="00367C86" w:rsidRDefault="00F3689F" w:rsidP="00367C86">
      <w:pPr>
        <w:tabs>
          <w:tab w:val="left" w:pos="1122"/>
        </w:tabs>
        <w:spacing w:before="100" w:beforeAutospacing="1" w:after="100" w:afterAutospacing="1"/>
        <w:ind w:left="0" w:firstLine="0"/>
        <w:rPr>
          <w:rFonts w:ascii="Arial" w:hAnsi="Arial" w:cs="Arial"/>
          <w:sz w:val="20"/>
          <w:szCs w:val="20"/>
        </w:rPr>
      </w:pPr>
      <w:r w:rsidRPr="00367C86">
        <w:rPr>
          <w:rFonts w:ascii="Arial" w:hAnsi="Arial" w:cs="Arial"/>
          <w:sz w:val="20"/>
          <w:szCs w:val="20"/>
        </w:rPr>
        <w:t xml:space="preserve">Le corps est un monde en soi, où chacun sait ce qu’il a à faire, à son rythme. </w:t>
      </w:r>
      <w:r w:rsidR="008A74BB" w:rsidRPr="00367C86">
        <w:rPr>
          <w:rFonts w:ascii="Arial" w:hAnsi="Arial" w:cs="Arial"/>
          <w:sz w:val="20"/>
          <w:szCs w:val="20"/>
        </w:rPr>
        <w:t>Quelle que soit l’</w:t>
      </w:r>
      <w:r w:rsidR="00C3746A" w:rsidRPr="00367C86">
        <w:rPr>
          <w:rFonts w:ascii="Arial" w:hAnsi="Arial" w:cs="Arial"/>
          <w:sz w:val="20"/>
          <w:szCs w:val="20"/>
        </w:rPr>
        <w:t>échelle, du corps entier au chromosome,</w:t>
      </w:r>
      <w:r w:rsidRPr="00367C86">
        <w:rPr>
          <w:rFonts w:ascii="Arial" w:hAnsi="Arial" w:cs="Arial"/>
          <w:sz w:val="20"/>
          <w:szCs w:val="20"/>
        </w:rPr>
        <w:t xml:space="preserve"> i</w:t>
      </w:r>
      <w:r w:rsidR="008A74BB" w:rsidRPr="00367C86">
        <w:rPr>
          <w:rFonts w:ascii="Arial" w:hAnsi="Arial" w:cs="Arial"/>
          <w:sz w:val="20"/>
          <w:szCs w:val="20"/>
        </w:rPr>
        <w:t>l y a des dedans et des dehors</w:t>
      </w:r>
      <w:r w:rsidR="00C3746A" w:rsidRPr="00367C86">
        <w:rPr>
          <w:rFonts w:ascii="Arial" w:hAnsi="Arial" w:cs="Arial"/>
          <w:sz w:val="20"/>
          <w:szCs w:val="20"/>
        </w:rPr>
        <w:t>, identifiés, caractérisés,</w:t>
      </w:r>
      <w:r w:rsidR="008A74BB" w:rsidRPr="00367C86">
        <w:rPr>
          <w:rFonts w:ascii="Arial" w:hAnsi="Arial" w:cs="Arial"/>
          <w:sz w:val="20"/>
          <w:szCs w:val="20"/>
        </w:rPr>
        <w:t xml:space="preserve"> séparés, cloisonnés (peau, </w:t>
      </w:r>
      <w:r w:rsidR="009C7358" w:rsidRPr="00367C86">
        <w:rPr>
          <w:rFonts w:ascii="Arial" w:hAnsi="Arial" w:cs="Arial"/>
          <w:sz w:val="20"/>
          <w:szCs w:val="20"/>
        </w:rPr>
        <w:t>tuniques</w:t>
      </w:r>
      <w:r w:rsidR="008A74BB" w:rsidRPr="00367C86">
        <w:rPr>
          <w:rFonts w:ascii="Arial" w:hAnsi="Arial" w:cs="Arial"/>
          <w:sz w:val="20"/>
          <w:szCs w:val="20"/>
        </w:rPr>
        <w:t>, barrière</w:t>
      </w:r>
      <w:r w:rsidR="009C7358" w:rsidRPr="00367C86">
        <w:rPr>
          <w:rFonts w:ascii="Arial" w:hAnsi="Arial" w:cs="Arial"/>
          <w:sz w:val="20"/>
          <w:szCs w:val="20"/>
        </w:rPr>
        <w:t xml:space="preserve">s, </w:t>
      </w:r>
      <w:r w:rsidRPr="00367C86">
        <w:rPr>
          <w:rFonts w:ascii="Arial" w:hAnsi="Arial" w:cs="Arial"/>
          <w:sz w:val="20"/>
          <w:szCs w:val="20"/>
        </w:rPr>
        <w:t>paroi</w:t>
      </w:r>
      <w:r w:rsidR="009C7358" w:rsidRPr="00367C86">
        <w:rPr>
          <w:rFonts w:ascii="Arial" w:hAnsi="Arial" w:cs="Arial"/>
          <w:sz w:val="20"/>
          <w:szCs w:val="20"/>
        </w:rPr>
        <w:t xml:space="preserve">s, </w:t>
      </w:r>
      <w:r w:rsidR="008A74BB" w:rsidRPr="00367C86">
        <w:rPr>
          <w:rFonts w:ascii="Arial" w:hAnsi="Arial" w:cs="Arial"/>
          <w:sz w:val="20"/>
          <w:szCs w:val="20"/>
        </w:rPr>
        <w:t xml:space="preserve">membranes, </w:t>
      </w:r>
      <w:r w:rsidR="00C3746A" w:rsidRPr="00367C86">
        <w:rPr>
          <w:rFonts w:ascii="Arial" w:hAnsi="Arial" w:cs="Arial"/>
          <w:sz w:val="20"/>
          <w:szCs w:val="20"/>
        </w:rPr>
        <w:t>enveloppe</w:t>
      </w:r>
      <w:r w:rsidR="009C7358" w:rsidRPr="00367C86">
        <w:rPr>
          <w:rFonts w:ascii="Arial" w:hAnsi="Arial" w:cs="Arial"/>
          <w:sz w:val="20"/>
          <w:szCs w:val="20"/>
        </w:rPr>
        <w:t>s</w:t>
      </w:r>
      <w:r w:rsidR="00D86AB5">
        <w:rPr>
          <w:rFonts w:ascii="Arial" w:hAnsi="Arial" w:cs="Arial"/>
          <w:sz w:val="20"/>
          <w:szCs w:val="20"/>
        </w:rPr>
        <w:t>,…</w:t>
      </w:r>
      <w:r w:rsidR="008A74BB" w:rsidRPr="00367C86">
        <w:rPr>
          <w:rFonts w:ascii="Arial" w:hAnsi="Arial" w:cs="Arial"/>
          <w:sz w:val="20"/>
          <w:szCs w:val="20"/>
        </w:rPr>
        <w:t xml:space="preserve">) : </w:t>
      </w:r>
      <w:r w:rsidRPr="00367C86">
        <w:rPr>
          <w:rFonts w:ascii="Arial" w:hAnsi="Arial" w:cs="Arial"/>
          <w:sz w:val="20"/>
          <w:szCs w:val="20"/>
        </w:rPr>
        <w:t>chaque élément est à sa place</w:t>
      </w:r>
      <w:r w:rsidR="00E27B82" w:rsidRPr="00367C86">
        <w:rPr>
          <w:rFonts w:ascii="Arial" w:hAnsi="Arial" w:cs="Arial"/>
          <w:sz w:val="20"/>
          <w:szCs w:val="20"/>
        </w:rPr>
        <w:t xml:space="preserve"> (dans des </w:t>
      </w:r>
      <w:r w:rsidR="00185AC8" w:rsidRPr="00367C86">
        <w:rPr>
          <w:rFonts w:ascii="Arial" w:hAnsi="Arial" w:cs="Arial"/>
          <w:sz w:val="20"/>
          <w:szCs w:val="20"/>
        </w:rPr>
        <w:t xml:space="preserve">veines, vaisseaux, </w:t>
      </w:r>
      <w:r w:rsidR="009C7358" w:rsidRPr="00367C86">
        <w:rPr>
          <w:rFonts w:ascii="Arial" w:hAnsi="Arial" w:cs="Arial"/>
          <w:sz w:val="20"/>
          <w:szCs w:val="20"/>
        </w:rPr>
        <w:t xml:space="preserve">poches, cellules, </w:t>
      </w:r>
      <w:r w:rsidR="00D86AB5">
        <w:rPr>
          <w:rFonts w:ascii="Arial" w:hAnsi="Arial" w:cs="Arial"/>
          <w:sz w:val="20"/>
          <w:szCs w:val="20"/>
        </w:rPr>
        <w:t>vésicules,…</w:t>
      </w:r>
      <w:r w:rsidR="00E27B82" w:rsidRPr="00367C86">
        <w:rPr>
          <w:rFonts w:ascii="Arial" w:hAnsi="Arial" w:cs="Arial"/>
          <w:sz w:val="20"/>
          <w:szCs w:val="20"/>
        </w:rPr>
        <w:t>)</w:t>
      </w:r>
      <w:r w:rsidRPr="00367C86">
        <w:rPr>
          <w:rFonts w:ascii="Arial" w:hAnsi="Arial" w:cs="Arial"/>
          <w:sz w:val="20"/>
          <w:szCs w:val="20"/>
        </w:rPr>
        <w:t xml:space="preserve"> et ce monde</w:t>
      </w:r>
      <w:r w:rsidR="00C3746A" w:rsidRPr="00367C86">
        <w:rPr>
          <w:rFonts w:ascii="Arial" w:hAnsi="Arial" w:cs="Arial"/>
          <w:sz w:val="20"/>
          <w:szCs w:val="20"/>
        </w:rPr>
        <w:t xml:space="preserve"> qui</w:t>
      </w:r>
      <w:r w:rsidRPr="00367C86">
        <w:rPr>
          <w:rFonts w:ascii="Arial" w:hAnsi="Arial" w:cs="Arial"/>
          <w:sz w:val="20"/>
          <w:szCs w:val="20"/>
        </w:rPr>
        <w:t xml:space="preserve"> vit d’échanges </w:t>
      </w:r>
      <w:r w:rsidR="009D5903" w:rsidRPr="00367C86">
        <w:rPr>
          <w:rFonts w:ascii="Arial" w:hAnsi="Arial" w:cs="Arial"/>
          <w:sz w:val="20"/>
          <w:szCs w:val="20"/>
        </w:rPr>
        <w:t>régulés</w:t>
      </w:r>
      <w:r w:rsidRPr="00367C86">
        <w:rPr>
          <w:rFonts w:ascii="Arial" w:hAnsi="Arial" w:cs="Arial"/>
          <w:sz w:val="20"/>
          <w:szCs w:val="20"/>
        </w:rPr>
        <w:t>, de circulations contrôlées, de façon harmonieuse et é</w:t>
      </w:r>
      <w:r w:rsidR="009D5903" w:rsidRPr="00367C86">
        <w:rPr>
          <w:rFonts w:ascii="Arial" w:hAnsi="Arial" w:cs="Arial"/>
          <w:sz w:val="20"/>
          <w:szCs w:val="20"/>
        </w:rPr>
        <w:t>quilibrée</w:t>
      </w:r>
      <w:r w:rsidR="00BA3026" w:rsidRPr="00367C86">
        <w:rPr>
          <w:rFonts w:ascii="Arial" w:hAnsi="Arial" w:cs="Arial"/>
          <w:sz w:val="20"/>
          <w:szCs w:val="20"/>
        </w:rPr>
        <w:t>,</w:t>
      </w:r>
      <w:r w:rsidR="00C3746A" w:rsidRPr="00367C86">
        <w:rPr>
          <w:rFonts w:ascii="Arial" w:hAnsi="Arial" w:cs="Arial"/>
          <w:sz w:val="20"/>
          <w:szCs w:val="20"/>
        </w:rPr>
        <w:t xml:space="preserve"> connait un régime d’homéostasie lui assurant paix et longue vie</w:t>
      </w:r>
      <w:r w:rsidR="009D5903" w:rsidRPr="00367C86">
        <w:rPr>
          <w:rFonts w:ascii="Arial" w:hAnsi="Arial" w:cs="Arial"/>
          <w:sz w:val="20"/>
          <w:szCs w:val="20"/>
        </w:rPr>
        <w:t xml:space="preserve">. Arrive là-dessus </w:t>
      </w:r>
      <w:r w:rsidR="00D12D4D" w:rsidRPr="00367C86">
        <w:rPr>
          <w:rFonts w:ascii="Arial" w:hAnsi="Arial" w:cs="Arial"/>
          <w:sz w:val="20"/>
          <w:szCs w:val="20"/>
        </w:rPr>
        <w:t>un excité qui</w:t>
      </w:r>
      <w:r w:rsidR="00C3746A" w:rsidRPr="00367C86">
        <w:rPr>
          <w:rFonts w:ascii="Arial" w:hAnsi="Arial" w:cs="Arial"/>
          <w:sz w:val="20"/>
          <w:szCs w:val="20"/>
        </w:rPr>
        <w:t xml:space="preserve"> a un message à porter – laissez-moi passer ! - (et pas</w:t>
      </w:r>
      <w:r w:rsidR="00D12D4D" w:rsidRPr="00367C86">
        <w:rPr>
          <w:rFonts w:ascii="Arial" w:hAnsi="Arial" w:cs="Arial"/>
          <w:sz w:val="20"/>
          <w:szCs w:val="20"/>
        </w:rPr>
        <w:t xml:space="preserve"> qu’un message parce qu’avec le multiplexage </w:t>
      </w:r>
      <w:r w:rsidR="00C3746A" w:rsidRPr="00367C86">
        <w:rPr>
          <w:rFonts w:ascii="Arial" w:hAnsi="Arial" w:cs="Arial"/>
          <w:sz w:val="20"/>
          <w:szCs w:val="20"/>
        </w:rPr>
        <w:t>tout le monde lui pa</w:t>
      </w:r>
      <w:r w:rsidR="00D86AB5">
        <w:rPr>
          <w:rFonts w:ascii="Arial" w:hAnsi="Arial" w:cs="Arial"/>
          <w:sz w:val="20"/>
          <w:szCs w:val="20"/>
        </w:rPr>
        <w:t>rle en même temps</w:t>
      </w:r>
      <w:r w:rsidR="00C3746A" w:rsidRPr="00367C86">
        <w:rPr>
          <w:rFonts w:ascii="Arial" w:hAnsi="Arial" w:cs="Arial"/>
          <w:sz w:val="20"/>
          <w:szCs w:val="20"/>
        </w:rPr>
        <w:t>)</w:t>
      </w:r>
      <w:r w:rsidR="00185AC8" w:rsidRPr="00367C86">
        <w:rPr>
          <w:rFonts w:ascii="Arial" w:hAnsi="Arial" w:cs="Arial"/>
          <w:sz w:val="20"/>
          <w:szCs w:val="20"/>
        </w:rPr>
        <w:t>. Il n’a rien à faire là</w:t>
      </w:r>
      <w:r w:rsidR="00D12D4D" w:rsidRPr="00367C86">
        <w:rPr>
          <w:rFonts w:ascii="Arial" w:hAnsi="Arial" w:cs="Arial"/>
          <w:sz w:val="20"/>
          <w:szCs w:val="20"/>
        </w:rPr>
        <w:t>, son travail c’est d’aller d’un appareil à un autre,</w:t>
      </w:r>
      <w:r w:rsidR="00185AC8" w:rsidRPr="00367C86">
        <w:rPr>
          <w:rFonts w:ascii="Arial" w:hAnsi="Arial" w:cs="Arial"/>
          <w:sz w:val="20"/>
          <w:szCs w:val="20"/>
        </w:rPr>
        <w:t xml:space="preserve"> mais le corps est sur son chemin alors il </w:t>
      </w:r>
      <w:r w:rsidR="009D5903" w:rsidRPr="00367C86">
        <w:rPr>
          <w:rFonts w:ascii="Arial" w:hAnsi="Arial" w:cs="Arial"/>
          <w:sz w:val="20"/>
          <w:szCs w:val="20"/>
        </w:rPr>
        <w:t>déboule comme un chien dans un jeu de quilles en tapant à toutes les portes, toutes les m</w:t>
      </w:r>
      <w:r w:rsidR="00C554C7">
        <w:rPr>
          <w:rFonts w:ascii="Arial" w:hAnsi="Arial" w:cs="Arial"/>
          <w:sz w:val="20"/>
          <w:szCs w:val="20"/>
        </w:rPr>
        <w:t>embranes, simultanément : r</w:t>
      </w:r>
      <w:r w:rsidR="009D5903" w:rsidRPr="00367C86">
        <w:rPr>
          <w:rFonts w:ascii="Arial" w:hAnsi="Arial" w:cs="Arial"/>
          <w:sz w:val="20"/>
          <w:szCs w:val="20"/>
        </w:rPr>
        <w:t>afale</w:t>
      </w:r>
      <w:r w:rsidR="00C3746A" w:rsidRPr="00367C86">
        <w:rPr>
          <w:rFonts w:ascii="Arial" w:hAnsi="Arial" w:cs="Arial"/>
          <w:sz w:val="20"/>
          <w:szCs w:val="20"/>
        </w:rPr>
        <w:t>s</w:t>
      </w:r>
      <w:r w:rsidR="009D5903" w:rsidRPr="00367C86">
        <w:rPr>
          <w:rFonts w:ascii="Arial" w:hAnsi="Arial" w:cs="Arial"/>
          <w:sz w:val="20"/>
          <w:szCs w:val="20"/>
        </w:rPr>
        <w:t xml:space="preserve"> de Toc !!! Ouvrez la porte ! </w:t>
      </w:r>
      <w:r w:rsidR="00BA3026" w:rsidRPr="00367C86">
        <w:rPr>
          <w:rFonts w:ascii="Arial" w:hAnsi="Arial" w:cs="Arial"/>
          <w:sz w:val="20"/>
          <w:szCs w:val="20"/>
        </w:rPr>
        <w:t xml:space="preserve">Ouvrez la porte ! </w:t>
      </w:r>
      <w:r w:rsidR="00D12D4D" w:rsidRPr="00367C86">
        <w:rPr>
          <w:rFonts w:ascii="Arial" w:hAnsi="Arial" w:cs="Arial"/>
          <w:sz w:val="20"/>
          <w:szCs w:val="20"/>
        </w:rPr>
        <w:t xml:space="preserve">Ouvrez la porte ! </w:t>
      </w:r>
      <w:r w:rsidR="00BA3026" w:rsidRPr="00367C86">
        <w:rPr>
          <w:rFonts w:ascii="Arial" w:hAnsi="Arial" w:cs="Arial"/>
          <w:sz w:val="20"/>
          <w:szCs w:val="20"/>
        </w:rPr>
        <w:t xml:space="preserve">Ouvr(bon, on a compris). </w:t>
      </w:r>
      <w:r w:rsidR="009D5903" w:rsidRPr="00367C86">
        <w:rPr>
          <w:rFonts w:ascii="Arial" w:hAnsi="Arial" w:cs="Arial"/>
          <w:sz w:val="20"/>
          <w:szCs w:val="20"/>
        </w:rPr>
        <w:t>C’est une sacrée pagaille</w:t>
      </w:r>
      <w:r w:rsidR="00274690" w:rsidRPr="00367C86">
        <w:rPr>
          <w:rFonts w:ascii="Arial" w:hAnsi="Arial" w:cs="Arial"/>
          <w:sz w:val="20"/>
          <w:szCs w:val="20"/>
        </w:rPr>
        <w:t>, les esprits s’échauffent</w:t>
      </w:r>
      <w:r w:rsidR="009D5903" w:rsidRPr="00367C86">
        <w:rPr>
          <w:rFonts w:ascii="Arial" w:hAnsi="Arial" w:cs="Arial"/>
          <w:sz w:val="20"/>
          <w:szCs w:val="20"/>
        </w:rPr>
        <w:t> :</w:t>
      </w:r>
      <w:r w:rsidR="00274690" w:rsidRPr="00367C86">
        <w:rPr>
          <w:rFonts w:ascii="Arial" w:hAnsi="Arial" w:cs="Arial"/>
          <w:sz w:val="20"/>
          <w:szCs w:val="20"/>
        </w:rPr>
        <w:t xml:space="preserve"> les canaux </w:t>
      </w:r>
      <w:r w:rsidR="00C3746A" w:rsidRPr="00367C86">
        <w:rPr>
          <w:rFonts w:ascii="Arial" w:hAnsi="Arial" w:cs="Arial"/>
          <w:sz w:val="20"/>
          <w:szCs w:val="20"/>
        </w:rPr>
        <w:t>voltage-dépendants</w:t>
      </w:r>
      <w:r w:rsidR="00274690" w:rsidRPr="00367C86">
        <w:rPr>
          <w:rFonts w:ascii="Arial" w:hAnsi="Arial" w:cs="Arial"/>
          <w:sz w:val="20"/>
          <w:szCs w:val="20"/>
        </w:rPr>
        <w:t xml:space="preserve"> s’entrouvrent sous l’action d’ions qui,</w:t>
      </w:r>
      <w:r w:rsidR="00C3746A" w:rsidRPr="00367C86">
        <w:rPr>
          <w:rFonts w:ascii="Arial" w:hAnsi="Arial" w:cs="Arial"/>
          <w:sz w:val="20"/>
          <w:szCs w:val="20"/>
        </w:rPr>
        <w:t xml:space="preserve"> excités à leur tour, pénètrent dans les cellules, </w:t>
      </w:r>
      <w:r w:rsidR="00274690" w:rsidRPr="00367C86">
        <w:rPr>
          <w:rFonts w:ascii="Arial" w:hAnsi="Arial" w:cs="Arial"/>
          <w:sz w:val="20"/>
          <w:szCs w:val="20"/>
        </w:rPr>
        <w:t xml:space="preserve">les cytokines, énervées, </w:t>
      </w:r>
      <w:r w:rsidR="00C3746A" w:rsidRPr="00367C86">
        <w:rPr>
          <w:rFonts w:ascii="Arial" w:hAnsi="Arial" w:cs="Arial"/>
          <w:sz w:val="20"/>
          <w:szCs w:val="20"/>
        </w:rPr>
        <w:t xml:space="preserve">s’y mettent aussi (Allez ! il a dit </w:t>
      </w:r>
      <w:r w:rsidR="00274690" w:rsidRPr="00367C86">
        <w:rPr>
          <w:rFonts w:ascii="Arial" w:hAnsi="Arial" w:cs="Arial"/>
          <w:sz w:val="20"/>
          <w:szCs w:val="20"/>
        </w:rPr>
        <w:t>« Ouvrez</w:t>
      </w:r>
      <w:r w:rsidR="00C3746A" w:rsidRPr="00367C86">
        <w:rPr>
          <w:rFonts w:ascii="Arial" w:hAnsi="Arial" w:cs="Arial"/>
          <w:sz w:val="20"/>
          <w:szCs w:val="20"/>
        </w:rPr>
        <w:t xml:space="preserve"> la porte !</w:t>
      </w:r>
      <w:r w:rsidR="00274690" w:rsidRPr="00367C86">
        <w:rPr>
          <w:rFonts w:ascii="Arial" w:hAnsi="Arial" w:cs="Arial"/>
          <w:sz w:val="20"/>
          <w:szCs w:val="20"/>
        </w:rPr>
        <w:t> »</w:t>
      </w:r>
      <w:r w:rsidR="00C3746A" w:rsidRPr="00367C86">
        <w:rPr>
          <w:rFonts w:ascii="Arial" w:hAnsi="Arial" w:cs="Arial"/>
          <w:sz w:val="20"/>
          <w:szCs w:val="20"/>
        </w:rPr>
        <w:t>), les barrière</w:t>
      </w:r>
      <w:r w:rsidR="00274690" w:rsidRPr="00367C86">
        <w:rPr>
          <w:rFonts w:ascii="Arial" w:hAnsi="Arial" w:cs="Arial"/>
          <w:sz w:val="20"/>
          <w:szCs w:val="20"/>
        </w:rPr>
        <w:t>s</w:t>
      </w:r>
      <w:r w:rsidR="00BA3026" w:rsidRPr="00367C86">
        <w:rPr>
          <w:rFonts w:ascii="Arial" w:hAnsi="Arial" w:cs="Arial"/>
          <w:sz w:val="20"/>
          <w:szCs w:val="20"/>
        </w:rPr>
        <w:t xml:space="preserve"> laissent passer</w:t>
      </w:r>
      <w:r w:rsidR="00C3746A" w:rsidRPr="00367C86">
        <w:rPr>
          <w:rFonts w:ascii="Arial" w:hAnsi="Arial" w:cs="Arial"/>
          <w:sz w:val="20"/>
          <w:szCs w:val="20"/>
        </w:rPr>
        <w:t xml:space="preserve">, </w:t>
      </w:r>
      <w:r w:rsidR="00D12D4D" w:rsidRPr="00367C86">
        <w:rPr>
          <w:rFonts w:ascii="Arial" w:hAnsi="Arial" w:cs="Arial"/>
          <w:sz w:val="20"/>
          <w:szCs w:val="20"/>
        </w:rPr>
        <w:t>des protéines sont choquées, des substances chimiques</w:t>
      </w:r>
      <w:r w:rsidR="008A74BB" w:rsidRPr="00367C86">
        <w:rPr>
          <w:rFonts w:ascii="Arial" w:hAnsi="Arial" w:cs="Arial"/>
          <w:sz w:val="20"/>
          <w:szCs w:val="20"/>
        </w:rPr>
        <w:t xml:space="preserve"> et des ETM pénètrent dans le cerveau, </w:t>
      </w:r>
      <w:r w:rsidR="00E27B82" w:rsidRPr="00367C86">
        <w:rPr>
          <w:rFonts w:ascii="Arial" w:hAnsi="Arial" w:cs="Arial"/>
          <w:sz w:val="20"/>
          <w:szCs w:val="20"/>
        </w:rPr>
        <w:t>les monoamines sortent de leurs vésicules, du côté des</w:t>
      </w:r>
      <w:r w:rsidR="00274690" w:rsidRPr="00367C86">
        <w:rPr>
          <w:rFonts w:ascii="Arial" w:hAnsi="Arial" w:cs="Arial"/>
          <w:sz w:val="20"/>
          <w:szCs w:val="20"/>
        </w:rPr>
        <w:t xml:space="preserve"> chromosomes ça n’est pas terrible non</w:t>
      </w:r>
      <w:r w:rsidR="00E27B82" w:rsidRPr="00367C86">
        <w:rPr>
          <w:rFonts w:ascii="Arial" w:hAnsi="Arial" w:cs="Arial"/>
          <w:sz w:val="20"/>
          <w:szCs w:val="20"/>
        </w:rPr>
        <w:t xml:space="preserve"> plus</w:t>
      </w:r>
      <w:r w:rsidR="00274690" w:rsidRPr="00367C86">
        <w:rPr>
          <w:rFonts w:ascii="Arial" w:hAnsi="Arial" w:cs="Arial"/>
          <w:sz w:val="20"/>
          <w:szCs w:val="20"/>
        </w:rPr>
        <w:t>, l’enveloppe nucléaire est prête à rendre les armes (ça va casser, il v</w:t>
      </w:r>
      <w:r w:rsidR="00E27B82" w:rsidRPr="00367C86">
        <w:rPr>
          <w:rFonts w:ascii="Arial" w:hAnsi="Arial" w:cs="Arial"/>
          <w:sz w:val="20"/>
          <w:szCs w:val="20"/>
        </w:rPr>
        <w:t>a</w:t>
      </w:r>
      <w:r w:rsidR="00274690" w:rsidRPr="00367C86">
        <w:rPr>
          <w:rFonts w:ascii="Arial" w:hAnsi="Arial" w:cs="Arial"/>
          <w:sz w:val="20"/>
          <w:szCs w:val="20"/>
        </w:rPr>
        <w:t xml:space="preserve"> y avoir des </w:t>
      </w:r>
      <w:r w:rsidR="00E27B82" w:rsidRPr="00367C86">
        <w:rPr>
          <w:rFonts w:ascii="Arial" w:hAnsi="Arial" w:cs="Arial"/>
          <w:sz w:val="20"/>
          <w:szCs w:val="20"/>
        </w:rPr>
        <w:t>dégâts</w:t>
      </w:r>
      <w:r w:rsidR="00274690" w:rsidRPr="00367C86">
        <w:rPr>
          <w:rFonts w:ascii="Arial" w:hAnsi="Arial" w:cs="Arial"/>
          <w:sz w:val="20"/>
          <w:szCs w:val="20"/>
        </w:rPr>
        <w:t>)</w:t>
      </w:r>
      <w:r w:rsidR="00E27B82" w:rsidRPr="00367C86">
        <w:rPr>
          <w:rFonts w:ascii="Arial" w:hAnsi="Arial" w:cs="Arial"/>
          <w:sz w:val="20"/>
          <w:szCs w:val="20"/>
        </w:rPr>
        <w:t>,</w:t>
      </w:r>
      <w:r w:rsidR="00274690" w:rsidRPr="00367C86">
        <w:rPr>
          <w:rFonts w:ascii="Arial" w:hAnsi="Arial" w:cs="Arial"/>
          <w:sz w:val="20"/>
          <w:szCs w:val="20"/>
        </w:rPr>
        <w:t xml:space="preserve"> bref :</w:t>
      </w:r>
      <w:r w:rsidR="00E27B82" w:rsidRPr="00367C86">
        <w:rPr>
          <w:rFonts w:ascii="Arial" w:hAnsi="Arial" w:cs="Arial"/>
          <w:sz w:val="20"/>
          <w:szCs w:val="20"/>
        </w:rPr>
        <w:t xml:space="preserve"> rien ne va plus (</w:t>
      </w:r>
      <w:r w:rsidR="00274690" w:rsidRPr="00367C86">
        <w:rPr>
          <w:rFonts w:ascii="Arial" w:hAnsi="Arial" w:cs="Arial"/>
          <w:sz w:val="20"/>
          <w:szCs w:val="20"/>
        </w:rPr>
        <w:t>c’est la guerre</w:t>
      </w:r>
      <w:r w:rsidR="00E27B82" w:rsidRPr="00367C86">
        <w:rPr>
          <w:rFonts w:ascii="Arial" w:hAnsi="Arial" w:cs="Arial"/>
          <w:sz w:val="20"/>
          <w:szCs w:val="20"/>
        </w:rPr>
        <w:t> !</w:t>
      </w:r>
      <w:r w:rsidR="00BA3026" w:rsidRPr="00367C86">
        <w:rPr>
          <w:rFonts w:ascii="Arial" w:hAnsi="Arial" w:cs="Arial"/>
          <w:sz w:val="20"/>
          <w:szCs w:val="20"/>
        </w:rPr>
        <w:t>!!). A cause d’un élément perturbateur.</w:t>
      </w:r>
    </w:p>
    <w:p w:rsidR="009D5903" w:rsidRPr="00367C86" w:rsidRDefault="00BA3026" w:rsidP="00367C86">
      <w:pPr>
        <w:tabs>
          <w:tab w:val="left" w:pos="1122"/>
        </w:tabs>
        <w:spacing w:before="100" w:beforeAutospacing="1" w:after="100" w:afterAutospacing="1"/>
        <w:ind w:left="0" w:firstLine="0"/>
        <w:rPr>
          <w:rFonts w:ascii="Arial" w:hAnsi="Arial" w:cs="Arial"/>
          <w:sz w:val="20"/>
          <w:szCs w:val="20"/>
        </w:rPr>
      </w:pPr>
      <w:r w:rsidRPr="00367C86">
        <w:rPr>
          <w:rFonts w:ascii="Arial" w:hAnsi="Arial" w:cs="Arial"/>
          <w:sz w:val="20"/>
          <w:szCs w:val="20"/>
        </w:rPr>
        <w:t>C</w:t>
      </w:r>
      <w:r w:rsidR="00E27B82" w:rsidRPr="00367C86">
        <w:rPr>
          <w:rFonts w:ascii="Arial" w:hAnsi="Arial" w:cs="Arial"/>
          <w:sz w:val="20"/>
          <w:szCs w:val="20"/>
        </w:rPr>
        <w:t>’est bien sûr très imagé et forcément caricaturé mais il y a tou</w:t>
      </w:r>
      <w:r w:rsidRPr="00367C86">
        <w:rPr>
          <w:rFonts w:ascii="Arial" w:hAnsi="Arial" w:cs="Arial"/>
          <w:sz w:val="20"/>
          <w:szCs w:val="20"/>
        </w:rPr>
        <w:t>t de même un air de déjà vu</w:t>
      </w:r>
      <w:r w:rsidR="00E27B82" w:rsidRPr="00367C86">
        <w:rPr>
          <w:rFonts w:ascii="Arial" w:hAnsi="Arial" w:cs="Arial"/>
          <w:sz w:val="20"/>
          <w:szCs w:val="20"/>
        </w:rPr>
        <w:t>. A l’échelle de chaque individu, t</w:t>
      </w:r>
      <w:r w:rsidR="00274690" w:rsidRPr="00367C86">
        <w:rPr>
          <w:rFonts w:ascii="Arial" w:hAnsi="Arial" w:cs="Arial"/>
          <w:sz w:val="20"/>
          <w:szCs w:val="20"/>
        </w:rPr>
        <w:t>out le monde n’est pas logé à la même enseigne. Il y a des corps avec des cloisons plus solides que d’autres</w:t>
      </w:r>
      <w:r w:rsidR="00E27B82" w:rsidRPr="00367C86">
        <w:rPr>
          <w:rFonts w:ascii="Arial" w:hAnsi="Arial" w:cs="Arial"/>
          <w:sz w:val="20"/>
          <w:szCs w:val="20"/>
        </w:rPr>
        <w:t xml:space="preserve">, </w:t>
      </w:r>
      <w:r w:rsidRPr="00367C86">
        <w:rPr>
          <w:rFonts w:ascii="Arial" w:hAnsi="Arial" w:cs="Arial"/>
          <w:sz w:val="20"/>
          <w:szCs w:val="20"/>
        </w:rPr>
        <w:t>des barrières pas encore matures (ou trop matures), des terrains plus vulnérables</w:t>
      </w:r>
      <w:r w:rsidR="00E27B82" w:rsidRPr="00367C86">
        <w:rPr>
          <w:rFonts w:ascii="Arial" w:hAnsi="Arial" w:cs="Arial"/>
          <w:sz w:val="20"/>
          <w:szCs w:val="20"/>
        </w:rPr>
        <w:t>, des situations particulières</w:t>
      </w:r>
      <w:r w:rsidR="002003ED" w:rsidRPr="00367C86">
        <w:rPr>
          <w:rFonts w:ascii="Arial" w:hAnsi="Arial" w:cs="Arial"/>
          <w:sz w:val="20"/>
          <w:szCs w:val="20"/>
        </w:rPr>
        <w:t>, en fonction de ses autres expositions, de son histoire, des stress de toute nature subis par ailleu</w:t>
      </w:r>
      <w:r w:rsidRPr="00367C86">
        <w:rPr>
          <w:rFonts w:ascii="Arial" w:hAnsi="Arial" w:cs="Arial"/>
          <w:sz w:val="20"/>
          <w:szCs w:val="20"/>
        </w:rPr>
        <w:t>rs (un choc émotionnel, par exem</w:t>
      </w:r>
      <w:r w:rsidR="002003ED" w:rsidRPr="00367C86">
        <w:rPr>
          <w:rFonts w:ascii="Arial" w:hAnsi="Arial" w:cs="Arial"/>
          <w:sz w:val="20"/>
          <w:szCs w:val="20"/>
        </w:rPr>
        <w:t>ple)</w:t>
      </w:r>
      <w:r w:rsidRPr="00367C86">
        <w:rPr>
          <w:rFonts w:ascii="Arial" w:hAnsi="Arial" w:cs="Arial"/>
          <w:sz w:val="20"/>
          <w:szCs w:val="20"/>
        </w:rPr>
        <w:t> : ce que l’on appelle des variabilités inter-individuelles qui font que chaque être est unique</w:t>
      </w:r>
      <w:r w:rsidR="002003ED" w:rsidRPr="00367C86">
        <w:rPr>
          <w:rFonts w:ascii="Arial" w:hAnsi="Arial" w:cs="Arial"/>
          <w:sz w:val="20"/>
          <w:szCs w:val="20"/>
        </w:rPr>
        <w:t xml:space="preserve">. </w:t>
      </w:r>
      <w:r w:rsidRPr="00367C86">
        <w:rPr>
          <w:rFonts w:ascii="Arial" w:hAnsi="Arial" w:cs="Arial"/>
          <w:sz w:val="20"/>
          <w:szCs w:val="20"/>
        </w:rPr>
        <w:t xml:space="preserve">Parfois, même si le terrain est fort, à la longue il fatigue. </w:t>
      </w:r>
      <w:r w:rsidR="002003ED" w:rsidRPr="00367C86">
        <w:rPr>
          <w:rFonts w:ascii="Arial" w:hAnsi="Arial" w:cs="Arial"/>
          <w:sz w:val="20"/>
          <w:szCs w:val="20"/>
        </w:rPr>
        <w:t>U</w:t>
      </w:r>
      <w:r w:rsidR="009D5903" w:rsidRPr="00367C86">
        <w:rPr>
          <w:rFonts w:ascii="Arial" w:hAnsi="Arial" w:cs="Arial"/>
          <w:sz w:val="20"/>
          <w:szCs w:val="20"/>
        </w:rPr>
        <w:t>ne personne électrohypersensible m’avait dit que pour elle sa maladie était une question de « porosité ». Le terme plus adapté serait donc « perméabilité »</w:t>
      </w:r>
      <w:r w:rsidR="002003ED" w:rsidRPr="00367C86">
        <w:rPr>
          <w:rFonts w:ascii="Arial" w:hAnsi="Arial" w:cs="Arial"/>
          <w:sz w:val="20"/>
          <w:szCs w:val="20"/>
        </w:rPr>
        <w:t>, mais l’idée était là.</w:t>
      </w:r>
    </w:p>
    <w:p w:rsidR="00A657FF" w:rsidRPr="00367C86" w:rsidRDefault="006D73CE" w:rsidP="009F3BB0">
      <w:pPr>
        <w:pStyle w:val="Paragraphedeliste"/>
        <w:numPr>
          <w:ilvl w:val="0"/>
          <w:numId w:val="17"/>
        </w:numPr>
        <w:spacing w:before="100" w:beforeAutospacing="1" w:after="100" w:afterAutospacing="1"/>
        <w:rPr>
          <w:rFonts w:ascii="Arial" w:hAnsi="Arial" w:cs="Arial"/>
          <w:sz w:val="20"/>
          <w:szCs w:val="20"/>
        </w:rPr>
      </w:pPr>
      <w:r w:rsidRPr="00367C86">
        <w:rPr>
          <w:rFonts w:ascii="Arial" w:hAnsi="Arial" w:cs="Arial"/>
          <w:sz w:val="20"/>
          <w:szCs w:val="20"/>
        </w:rPr>
        <w:t>O</w:t>
      </w:r>
      <w:r w:rsidR="00A657FF" w:rsidRPr="00367C86">
        <w:rPr>
          <w:rFonts w:ascii="Arial" w:hAnsi="Arial" w:cs="Arial"/>
          <w:sz w:val="20"/>
          <w:szCs w:val="20"/>
        </w:rPr>
        <w:t>bservation</w:t>
      </w:r>
      <w:r w:rsidRPr="00367C86">
        <w:rPr>
          <w:rFonts w:ascii="Arial" w:hAnsi="Arial" w:cs="Arial"/>
          <w:sz w:val="20"/>
          <w:szCs w:val="20"/>
        </w:rPr>
        <w:t>s</w:t>
      </w:r>
      <w:r w:rsidR="00A657FF" w:rsidRPr="00367C86">
        <w:rPr>
          <w:rFonts w:ascii="Arial" w:hAnsi="Arial" w:cs="Arial"/>
          <w:sz w:val="20"/>
          <w:szCs w:val="20"/>
        </w:rPr>
        <w:t xml:space="preserve"> de paramètres méthodologiques limitant la portée des études :</w:t>
      </w:r>
    </w:p>
    <w:p w:rsidR="0069483A" w:rsidRPr="00367C86" w:rsidRDefault="00A657FF" w:rsidP="00367C86">
      <w:pPr>
        <w:tabs>
          <w:tab w:val="left" w:pos="1122"/>
        </w:tabs>
        <w:spacing w:before="100" w:beforeAutospacing="1" w:after="100" w:afterAutospacing="1"/>
        <w:rPr>
          <w:rFonts w:ascii="Arial" w:hAnsi="Arial" w:cs="Arial"/>
          <w:sz w:val="20"/>
          <w:szCs w:val="20"/>
        </w:rPr>
      </w:pPr>
      <w:r w:rsidRPr="00367C86">
        <w:rPr>
          <w:rFonts w:ascii="Arial" w:hAnsi="Arial" w:cs="Arial"/>
          <w:sz w:val="20"/>
          <w:szCs w:val="20"/>
        </w:rPr>
        <w:t xml:space="preserve">. </w:t>
      </w:r>
      <w:r w:rsidR="003E6920" w:rsidRPr="00367C86">
        <w:rPr>
          <w:rFonts w:ascii="Arial" w:hAnsi="Arial" w:cs="Arial"/>
          <w:sz w:val="20"/>
          <w:szCs w:val="20"/>
        </w:rPr>
        <w:t>L’étude</w:t>
      </w:r>
      <w:r w:rsidR="0069483A" w:rsidRPr="00367C86">
        <w:rPr>
          <w:rFonts w:ascii="Arial" w:hAnsi="Arial" w:cs="Arial"/>
          <w:sz w:val="20"/>
          <w:szCs w:val="20"/>
        </w:rPr>
        <w:t xml:space="preserve"> de Ghosn et al.(2013)</w:t>
      </w:r>
      <w:r w:rsidR="003E6920" w:rsidRPr="00367C86">
        <w:rPr>
          <w:rFonts w:ascii="Arial" w:hAnsi="Arial" w:cs="Arial"/>
          <w:sz w:val="20"/>
          <w:szCs w:val="20"/>
        </w:rPr>
        <w:t>, compte-rendu physique po</w:t>
      </w:r>
      <w:r w:rsidR="006D73CE" w:rsidRPr="00367C86">
        <w:rPr>
          <w:rFonts w:ascii="Arial" w:hAnsi="Arial" w:cs="Arial"/>
          <w:sz w:val="20"/>
          <w:szCs w:val="20"/>
        </w:rPr>
        <w:t>ur l’Académie des sciences, relève</w:t>
      </w:r>
      <w:r w:rsidR="003E6920" w:rsidRPr="00367C86">
        <w:rPr>
          <w:rFonts w:ascii="Arial" w:hAnsi="Arial" w:cs="Arial"/>
          <w:sz w:val="20"/>
          <w:szCs w:val="20"/>
        </w:rPr>
        <w:t xml:space="preserve"> </w:t>
      </w:r>
      <w:r w:rsidR="006D73CE" w:rsidRPr="00367C86">
        <w:rPr>
          <w:rFonts w:ascii="Arial" w:hAnsi="Arial" w:cs="Arial"/>
          <w:sz w:val="20"/>
          <w:szCs w:val="20"/>
        </w:rPr>
        <w:t xml:space="preserve">ainsi </w:t>
      </w:r>
      <w:r w:rsidR="003E6920" w:rsidRPr="00367C86">
        <w:rPr>
          <w:rFonts w:ascii="Arial" w:hAnsi="Arial" w:cs="Arial"/>
          <w:sz w:val="20"/>
          <w:szCs w:val="20"/>
        </w:rPr>
        <w:t xml:space="preserve">que </w:t>
      </w:r>
      <w:r w:rsidR="0069483A" w:rsidRPr="00367C86">
        <w:rPr>
          <w:rFonts w:ascii="Arial" w:hAnsi="Arial" w:cs="Arial"/>
          <w:sz w:val="20"/>
          <w:szCs w:val="20"/>
        </w:rPr>
        <w:t xml:space="preserve"> : </w:t>
      </w:r>
    </w:p>
    <w:p w:rsidR="0069483A" w:rsidRPr="00367C86" w:rsidRDefault="0069483A" w:rsidP="009F3BB0">
      <w:pPr>
        <w:pStyle w:val="Paragraphedeliste"/>
        <w:numPr>
          <w:ilvl w:val="0"/>
          <w:numId w:val="10"/>
        </w:numPr>
        <w:tabs>
          <w:tab w:val="left" w:pos="1122"/>
        </w:tabs>
        <w:spacing w:before="100" w:beforeAutospacing="1" w:after="100" w:afterAutospacing="1"/>
        <w:rPr>
          <w:rFonts w:ascii="Arial" w:hAnsi="Arial" w:cs="Arial"/>
          <w:sz w:val="20"/>
          <w:szCs w:val="20"/>
        </w:rPr>
      </w:pPr>
      <w:r w:rsidRPr="00367C86">
        <w:rPr>
          <w:rFonts w:ascii="Arial" w:hAnsi="Arial" w:cs="Arial"/>
          <w:sz w:val="20"/>
          <w:szCs w:val="20"/>
        </w:rPr>
        <w:t xml:space="preserve"> </w:t>
      </w:r>
      <w:r w:rsidR="006D73CE" w:rsidRPr="00367C86">
        <w:rPr>
          <w:rFonts w:ascii="Arial" w:hAnsi="Arial" w:cs="Arial"/>
          <w:sz w:val="20"/>
          <w:szCs w:val="20"/>
        </w:rPr>
        <w:t>l</w:t>
      </w:r>
      <w:r w:rsidRPr="00367C86">
        <w:rPr>
          <w:rFonts w:ascii="Arial" w:hAnsi="Arial" w:cs="Arial"/>
          <w:sz w:val="20"/>
          <w:szCs w:val="20"/>
        </w:rPr>
        <w:t>’utilisation d’une grande variété de techniques d’évaluation des fonctions cognitives rend difficile une comparaison directe des résultats de ces différentes études,</w:t>
      </w:r>
    </w:p>
    <w:p w:rsidR="0069483A" w:rsidRPr="00367C86" w:rsidRDefault="006D73CE" w:rsidP="009F3BB0">
      <w:pPr>
        <w:pStyle w:val="Paragraphedeliste"/>
        <w:numPr>
          <w:ilvl w:val="0"/>
          <w:numId w:val="10"/>
        </w:numPr>
        <w:tabs>
          <w:tab w:val="left" w:pos="1122"/>
        </w:tabs>
        <w:spacing w:before="100" w:beforeAutospacing="1" w:after="100" w:afterAutospacing="1"/>
        <w:rPr>
          <w:rFonts w:ascii="Arial" w:hAnsi="Arial" w:cs="Arial"/>
          <w:sz w:val="20"/>
          <w:szCs w:val="20"/>
        </w:rPr>
      </w:pPr>
      <w:r w:rsidRPr="00367C86">
        <w:rPr>
          <w:rFonts w:ascii="Arial" w:hAnsi="Arial" w:cs="Arial"/>
          <w:sz w:val="20"/>
          <w:szCs w:val="20"/>
        </w:rPr>
        <w:t>l</w:t>
      </w:r>
      <w:r w:rsidR="0069483A" w:rsidRPr="00367C86">
        <w:rPr>
          <w:rFonts w:ascii="Arial" w:hAnsi="Arial" w:cs="Arial"/>
          <w:sz w:val="20"/>
          <w:szCs w:val="20"/>
        </w:rPr>
        <w:t>es études de laboratoire avec des volontaires humains consistent souvent en une exposition de courte durée,</w:t>
      </w:r>
    </w:p>
    <w:p w:rsidR="0069483A" w:rsidRPr="00367C86" w:rsidRDefault="006D73CE" w:rsidP="009F3BB0">
      <w:pPr>
        <w:pStyle w:val="Paragraphedeliste"/>
        <w:numPr>
          <w:ilvl w:val="0"/>
          <w:numId w:val="10"/>
        </w:numPr>
        <w:tabs>
          <w:tab w:val="left" w:pos="1122"/>
        </w:tabs>
        <w:spacing w:before="100" w:beforeAutospacing="1" w:after="100" w:afterAutospacing="1"/>
        <w:rPr>
          <w:rFonts w:ascii="Arial" w:hAnsi="Arial" w:cs="Arial"/>
          <w:sz w:val="20"/>
          <w:szCs w:val="20"/>
        </w:rPr>
      </w:pPr>
      <w:r w:rsidRPr="00367C86">
        <w:rPr>
          <w:rFonts w:ascii="Arial" w:hAnsi="Arial" w:cs="Arial"/>
          <w:sz w:val="20"/>
          <w:szCs w:val="20"/>
        </w:rPr>
        <w:t>l</w:t>
      </w:r>
      <w:r w:rsidR="0069483A" w:rsidRPr="00367C86">
        <w:rPr>
          <w:rFonts w:ascii="Arial" w:hAnsi="Arial" w:cs="Arial"/>
          <w:sz w:val="20"/>
          <w:szCs w:val="20"/>
        </w:rPr>
        <w:t>a taille de l’échantillon de ces volontaires est insuffisante (« petit nombre »),</w:t>
      </w:r>
    </w:p>
    <w:p w:rsidR="0069483A" w:rsidRPr="00367C86" w:rsidRDefault="006D73CE" w:rsidP="009F3BB0">
      <w:pPr>
        <w:pStyle w:val="Paragraphedeliste"/>
        <w:numPr>
          <w:ilvl w:val="0"/>
          <w:numId w:val="10"/>
        </w:numPr>
        <w:tabs>
          <w:tab w:val="left" w:pos="1122"/>
        </w:tabs>
        <w:spacing w:before="100" w:beforeAutospacing="1" w:after="100" w:afterAutospacing="1"/>
        <w:rPr>
          <w:rFonts w:ascii="Arial" w:hAnsi="Arial" w:cs="Arial"/>
          <w:sz w:val="20"/>
          <w:szCs w:val="20"/>
        </w:rPr>
      </w:pPr>
      <w:r w:rsidRPr="00367C86">
        <w:rPr>
          <w:rFonts w:ascii="Arial" w:hAnsi="Arial" w:cs="Arial"/>
          <w:sz w:val="20"/>
          <w:szCs w:val="20"/>
        </w:rPr>
        <w:t>elle souligne également</w:t>
      </w:r>
      <w:r w:rsidR="0069483A" w:rsidRPr="00367C86">
        <w:rPr>
          <w:rFonts w:ascii="Arial" w:hAnsi="Arial" w:cs="Arial"/>
          <w:sz w:val="20"/>
          <w:szCs w:val="20"/>
        </w:rPr>
        <w:t xml:space="preserve"> « une plus grande hétérogénéité de volontaires, en comparaison avec les études animales », ce qui invalide possiblement leur comparaison,</w:t>
      </w:r>
    </w:p>
    <w:p w:rsidR="0069483A" w:rsidRPr="00367C86" w:rsidRDefault="006D73CE" w:rsidP="009F3BB0">
      <w:pPr>
        <w:pStyle w:val="Paragraphedeliste"/>
        <w:numPr>
          <w:ilvl w:val="0"/>
          <w:numId w:val="10"/>
        </w:numPr>
        <w:tabs>
          <w:tab w:val="left" w:pos="1122"/>
        </w:tabs>
        <w:spacing w:before="100" w:beforeAutospacing="1" w:after="100" w:afterAutospacing="1"/>
        <w:rPr>
          <w:rFonts w:ascii="Arial" w:hAnsi="Arial" w:cs="Arial"/>
          <w:sz w:val="20"/>
          <w:szCs w:val="20"/>
        </w:rPr>
      </w:pPr>
      <w:r w:rsidRPr="00367C86">
        <w:rPr>
          <w:rFonts w:ascii="Arial" w:hAnsi="Arial" w:cs="Arial"/>
          <w:sz w:val="20"/>
          <w:szCs w:val="20"/>
        </w:rPr>
        <w:t>l</w:t>
      </w:r>
      <w:r w:rsidR="0069483A" w:rsidRPr="00367C86">
        <w:rPr>
          <w:rFonts w:ascii="Arial" w:hAnsi="Arial" w:cs="Arial"/>
          <w:sz w:val="20"/>
          <w:szCs w:val="20"/>
        </w:rPr>
        <w:t>es populati</w:t>
      </w:r>
      <w:r w:rsidRPr="00367C86">
        <w:rPr>
          <w:rFonts w:ascii="Arial" w:hAnsi="Arial" w:cs="Arial"/>
          <w:sz w:val="20"/>
          <w:szCs w:val="20"/>
        </w:rPr>
        <w:t>ons vulné</w:t>
      </w:r>
      <w:r w:rsidR="003E6920" w:rsidRPr="00367C86">
        <w:rPr>
          <w:rFonts w:ascii="Arial" w:hAnsi="Arial" w:cs="Arial"/>
          <w:sz w:val="20"/>
          <w:szCs w:val="20"/>
        </w:rPr>
        <w:t xml:space="preserve">rables (plus jeunes, </w:t>
      </w:r>
      <w:r w:rsidR="0069483A" w:rsidRPr="00367C86">
        <w:rPr>
          <w:rFonts w:ascii="Arial" w:hAnsi="Arial" w:cs="Arial"/>
          <w:sz w:val="20"/>
          <w:szCs w:val="20"/>
        </w:rPr>
        <w:t>plus âgées</w:t>
      </w:r>
      <w:r w:rsidR="003E6920" w:rsidRPr="00367C86">
        <w:rPr>
          <w:rFonts w:ascii="Arial" w:hAnsi="Arial" w:cs="Arial"/>
          <w:sz w:val="20"/>
          <w:szCs w:val="20"/>
        </w:rPr>
        <w:t>, malades</w:t>
      </w:r>
      <w:r w:rsidR="0069483A" w:rsidRPr="00367C86">
        <w:rPr>
          <w:rFonts w:ascii="Arial" w:hAnsi="Arial" w:cs="Arial"/>
          <w:sz w:val="20"/>
          <w:szCs w:val="20"/>
        </w:rPr>
        <w:t>) sont rarement étudiées, le</w:t>
      </w:r>
      <w:r w:rsidR="003E6920" w:rsidRPr="00367C86">
        <w:rPr>
          <w:rFonts w:ascii="Arial" w:hAnsi="Arial" w:cs="Arial"/>
          <w:sz w:val="20"/>
          <w:szCs w:val="20"/>
        </w:rPr>
        <w:t>s volontaires étant généralement choisis</w:t>
      </w:r>
      <w:r w:rsidR="0069483A" w:rsidRPr="00367C86">
        <w:rPr>
          <w:rFonts w:ascii="Arial" w:hAnsi="Arial" w:cs="Arial"/>
          <w:sz w:val="20"/>
          <w:szCs w:val="20"/>
        </w:rPr>
        <w:t xml:space="preserve"> en bonne santé</w:t>
      </w:r>
      <w:r w:rsidR="003E6920" w:rsidRPr="00367C86">
        <w:rPr>
          <w:rFonts w:ascii="Arial" w:hAnsi="Arial" w:cs="Arial"/>
          <w:sz w:val="20"/>
          <w:szCs w:val="20"/>
        </w:rPr>
        <w:t>,</w:t>
      </w:r>
    </w:p>
    <w:p w:rsidR="003E6920" w:rsidRPr="00367C86" w:rsidRDefault="006D73CE" w:rsidP="009F3BB0">
      <w:pPr>
        <w:pStyle w:val="Paragraphedeliste"/>
        <w:numPr>
          <w:ilvl w:val="0"/>
          <w:numId w:val="10"/>
        </w:numPr>
        <w:tabs>
          <w:tab w:val="left" w:pos="1122"/>
        </w:tabs>
        <w:spacing w:before="100" w:beforeAutospacing="1" w:after="100" w:afterAutospacing="1"/>
        <w:rPr>
          <w:rFonts w:ascii="Arial" w:hAnsi="Arial" w:cs="Arial"/>
          <w:sz w:val="20"/>
          <w:szCs w:val="20"/>
        </w:rPr>
      </w:pPr>
      <w:r w:rsidRPr="00367C86">
        <w:rPr>
          <w:rFonts w:ascii="Arial" w:hAnsi="Arial" w:cs="Arial"/>
          <w:sz w:val="20"/>
          <w:szCs w:val="20"/>
        </w:rPr>
        <w:t>d</w:t>
      </w:r>
      <w:r w:rsidR="003E6920" w:rsidRPr="00367C86">
        <w:rPr>
          <w:rFonts w:ascii="Arial" w:hAnsi="Arial" w:cs="Arial"/>
          <w:sz w:val="20"/>
          <w:szCs w:val="20"/>
        </w:rPr>
        <w:t>es études cliniques chez l’enfant seraient nécessai</w:t>
      </w:r>
      <w:r w:rsidRPr="00367C86">
        <w:rPr>
          <w:rFonts w:ascii="Arial" w:hAnsi="Arial" w:cs="Arial"/>
          <w:sz w:val="20"/>
          <w:szCs w:val="20"/>
        </w:rPr>
        <w:t>res, sous réserve de</w:t>
      </w:r>
      <w:r w:rsidR="003E6920" w:rsidRPr="00367C86">
        <w:rPr>
          <w:rFonts w:ascii="Arial" w:hAnsi="Arial" w:cs="Arial"/>
          <w:sz w:val="20"/>
          <w:szCs w:val="20"/>
        </w:rPr>
        <w:t xml:space="preserve"> « précautions éthiques »</w:t>
      </w:r>
    </w:p>
    <w:p w:rsidR="00111BFF" w:rsidRPr="00367C86" w:rsidRDefault="006D73CE" w:rsidP="00367C86">
      <w:pPr>
        <w:tabs>
          <w:tab w:val="left" w:pos="1122"/>
        </w:tabs>
        <w:spacing w:before="100" w:beforeAutospacing="1" w:after="100" w:afterAutospacing="1"/>
        <w:ind w:left="0" w:firstLine="0"/>
        <w:rPr>
          <w:rFonts w:ascii="Arial" w:hAnsi="Arial" w:cs="Arial"/>
          <w:sz w:val="20"/>
          <w:szCs w:val="20"/>
        </w:rPr>
      </w:pPr>
      <w:r w:rsidRPr="00367C86">
        <w:rPr>
          <w:rFonts w:ascii="Arial" w:hAnsi="Arial" w:cs="Arial"/>
          <w:sz w:val="20"/>
          <w:szCs w:val="20"/>
        </w:rPr>
        <w:t>. Par ailleurs, l</w:t>
      </w:r>
      <w:r w:rsidR="00111BFF" w:rsidRPr="00367C86">
        <w:rPr>
          <w:rFonts w:ascii="Arial" w:hAnsi="Arial" w:cs="Arial"/>
          <w:sz w:val="20"/>
          <w:szCs w:val="20"/>
        </w:rPr>
        <w:t>a Commission des normes, de l’équité, de la santé et de la sécurité du travail (CNESST) indique sur son site</w:t>
      </w:r>
      <w:r w:rsidR="00111BFF" w:rsidRPr="00367C86">
        <w:rPr>
          <w:rStyle w:val="Appelnotedebasdep"/>
          <w:rFonts w:ascii="Arial" w:hAnsi="Arial" w:cs="Arial"/>
          <w:sz w:val="20"/>
          <w:szCs w:val="20"/>
        </w:rPr>
        <w:footnoteReference w:id="60"/>
      </w:r>
      <w:r w:rsidR="00111BFF" w:rsidRPr="00367C86">
        <w:rPr>
          <w:rFonts w:ascii="Arial" w:hAnsi="Arial" w:cs="Arial"/>
          <w:sz w:val="20"/>
          <w:szCs w:val="20"/>
        </w:rPr>
        <w:t xml:space="preserve"> que la toxicité aigüe ne permet pas de prédire des effets néfastes à long terme : la toxicité chronique liée à une exposition chronique doit être évaluée sur de longues durées  (« plusieurs mois ou années »). Malheureusement, une recherche sur leur site avec les mots-clefs « radiofréquences », « EMF », « électromagnéti</w:t>
      </w:r>
      <w:r w:rsidRPr="00367C86">
        <w:rPr>
          <w:rFonts w:ascii="Arial" w:hAnsi="Arial" w:cs="Arial"/>
          <w:sz w:val="20"/>
          <w:szCs w:val="20"/>
        </w:rPr>
        <w:t>- » ou</w:t>
      </w:r>
      <w:r w:rsidR="00111BFF" w:rsidRPr="00367C86">
        <w:rPr>
          <w:rFonts w:ascii="Arial" w:hAnsi="Arial" w:cs="Arial"/>
          <w:sz w:val="20"/>
          <w:szCs w:val="20"/>
        </w:rPr>
        <w:t xml:space="preserve"> « ondes » ne donne pas de résultat.</w:t>
      </w:r>
    </w:p>
    <w:p w:rsidR="0059074F" w:rsidRPr="00367C86" w:rsidRDefault="0031215B" w:rsidP="00367C86">
      <w:pPr>
        <w:tabs>
          <w:tab w:val="left" w:pos="1122"/>
        </w:tabs>
        <w:spacing w:before="100" w:beforeAutospacing="1" w:after="100" w:afterAutospacing="1"/>
        <w:ind w:left="0" w:firstLine="0"/>
        <w:rPr>
          <w:rFonts w:ascii="Arial" w:hAnsi="Arial" w:cs="Arial"/>
          <w:sz w:val="20"/>
          <w:szCs w:val="20"/>
        </w:rPr>
      </w:pPr>
      <w:r w:rsidRPr="00367C86">
        <w:rPr>
          <w:rFonts w:ascii="Arial" w:hAnsi="Arial" w:cs="Arial"/>
          <w:sz w:val="20"/>
          <w:szCs w:val="20"/>
        </w:rPr>
        <w:t>- Et concernant la prise en compte par la recherche des paramètres techniques cités dans la première partie de ce mémoire</w:t>
      </w:r>
      <w:r w:rsidR="00465D65" w:rsidRPr="00367C86">
        <w:rPr>
          <w:rStyle w:val="Appelnotedebasdep"/>
          <w:rFonts w:ascii="Arial" w:hAnsi="Arial" w:cs="Arial"/>
          <w:sz w:val="20"/>
          <w:szCs w:val="20"/>
        </w:rPr>
        <w:footnoteReference w:id="61"/>
      </w:r>
      <w:r w:rsidR="00465D65" w:rsidRPr="00367C86">
        <w:rPr>
          <w:rFonts w:ascii="Arial" w:hAnsi="Arial" w:cs="Arial"/>
          <w:sz w:val="20"/>
          <w:szCs w:val="20"/>
        </w:rPr>
        <w:t xml:space="preserve">, </w:t>
      </w:r>
      <w:r w:rsidRPr="00367C86">
        <w:rPr>
          <w:rFonts w:ascii="Arial" w:hAnsi="Arial" w:cs="Arial"/>
          <w:sz w:val="20"/>
          <w:szCs w:val="20"/>
        </w:rPr>
        <w:t xml:space="preserve">à part les trois paramètres classiques (fréquence, puissance, durée) les six autres sont peu </w:t>
      </w:r>
      <w:r w:rsidR="00465D65" w:rsidRPr="00367C86">
        <w:rPr>
          <w:rFonts w:ascii="Arial" w:hAnsi="Arial" w:cs="Arial"/>
          <w:sz w:val="20"/>
          <w:szCs w:val="20"/>
        </w:rPr>
        <w:t>pris en compte (voire pas).</w:t>
      </w:r>
    </w:p>
    <w:p w:rsidR="00643F04" w:rsidRPr="00367C86" w:rsidRDefault="00586B2A" w:rsidP="009F3BB0">
      <w:pPr>
        <w:pStyle w:val="Paragraphedeliste"/>
        <w:numPr>
          <w:ilvl w:val="0"/>
          <w:numId w:val="17"/>
        </w:numPr>
        <w:shd w:val="clear" w:color="auto" w:fill="FFFFFF"/>
        <w:spacing w:before="100" w:beforeAutospacing="1" w:after="100" w:afterAutospacing="1"/>
        <w:rPr>
          <w:rFonts w:ascii="Arial" w:eastAsia="Times New Roman" w:hAnsi="Arial" w:cs="Arial"/>
          <w:sz w:val="20"/>
          <w:szCs w:val="20"/>
          <w:lang w:eastAsia="fr-FR"/>
        </w:rPr>
      </w:pPr>
      <w:r w:rsidRPr="00367C86">
        <w:rPr>
          <w:rFonts w:ascii="Arial" w:eastAsia="Times New Roman" w:hAnsi="Arial" w:cs="Arial"/>
          <w:sz w:val="20"/>
          <w:szCs w:val="20"/>
          <w:lang w:eastAsia="fr-FR"/>
        </w:rPr>
        <w:lastRenderedPageBreak/>
        <w:t>Ce qu’en disaient les Anciens, ce que recherchent les Modernes</w:t>
      </w:r>
      <w:r w:rsidR="00465D65" w:rsidRPr="00367C86">
        <w:rPr>
          <w:rFonts w:ascii="Arial" w:eastAsia="Times New Roman" w:hAnsi="Arial" w:cs="Arial"/>
          <w:sz w:val="20"/>
          <w:szCs w:val="20"/>
          <w:lang w:eastAsia="fr-FR"/>
        </w:rPr>
        <w:t>,</w:t>
      </w:r>
      <w:r w:rsidRPr="00367C86">
        <w:rPr>
          <w:rFonts w:ascii="Arial" w:eastAsia="Times New Roman" w:hAnsi="Arial" w:cs="Arial"/>
          <w:sz w:val="20"/>
          <w:szCs w:val="20"/>
          <w:lang w:eastAsia="fr-FR"/>
        </w:rPr>
        <w:t xml:space="preserve"> et des restes de la Guerre froide dans les laboratoires : </w:t>
      </w:r>
      <w:r w:rsidR="00643F04" w:rsidRPr="00367C86">
        <w:rPr>
          <w:rFonts w:ascii="Arial" w:eastAsia="Times New Roman" w:hAnsi="Arial" w:cs="Arial"/>
          <w:sz w:val="20"/>
          <w:szCs w:val="20"/>
          <w:lang w:eastAsia="fr-FR"/>
        </w:rPr>
        <w:t>deux hypothèses</w:t>
      </w:r>
    </w:p>
    <w:p w:rsidR="00586B2A" w:rsidRPr="00367C86" w:rsidRDefault="00643F04" w:rsidP="00367C86">
      <w:pPr>
        <w:shd w:val="clear" w:color="auto" w:fill="FFFFFF"/>
        <w:spacing w:before="100" w:beforeAutospacing="1" w:after="100" w:afterAutospacing="1"/>
        <w:rPr>
          <w:rFonts w:ascii="Arial" w:eastAsia="Times New Roman" w:hAnsi="Arial" w:cs="Arial"/>
          <w:sz w:val="20"/>
          <w:szCs w:val="20"/>
          <w:lang w:eastAsia="fr-FR"/>
        </w:rPr>
      </w:pPr>
      <w:r w:rsidRPr="00367C86">
        <w:rPr>
          <w:rFonts w:ascii="Arial" w:eastAsia="Times New Roman" w:hAnsi="Arial" w:cs="Arial"/>
          <w:sz w:val="20"/>
          <w:szCs w:val="20"/>
          <w:lang w:eastAsia="fr-FR"/>
        </w:rPr>
        <w:t xml:space="preserve">. </w:t>
      </w:r>
      <w:r w:rsidR="00586B2A" w:rsidRPr="00D86AB5">
        <w:rPr>
          <w:rFonts w:ascii="Arial" w:eastAsia="Times New Roman" w:hAnsi="Arial" w:cs="Arial"/>
          <w:sz w:val="20"/>
          <w:szCs w:val="20"/>
          <w:u w:val="single"/>
          <w:lang w:eastAsia="fr-FR"/>
        </w:rPr>
        <w:t xml:space="preserve">une hypothèse </w:t>
      </w:r>
      <w:r w:rsidRPr="00D86AB5">
        <w:rPr>
          <w:rFonts w:ascii="Arial" w:eastAsia="Times New Roman" w:hAnsi="Arial" w:cs="Arial"/>
          <w:sz w:val="20"/>
          <w:szCs w:val="20"/>
          <w:u w:val="single"/>
          <w:lang w:eastAsia="fr-FR"/>
        </w:rPr>
        <w:t>(ré)</w:t>
      </w:r>
      <w:r w:rsidR="00586B2A" w:rsidRPr="00D86AB5">
        <w:rPr>
          <w:rFonts w:ascii="Arial" w:eastAsia="Times New Roman" w:hAnsi="Arial" w:cs="Arial"/>
          <w:sz w:val="20"/>
          <w:szCs w:val="20"/>
          <w:u w:val="single"/>
          <w:lang w:eastAsia="fr-FR"/>
        </w:rPr>
        <w:t>concil</w:t>
      </w:r>
      <w:r w:rsidR="00465D65" w:rsidRPr="00D86AB5">
        <w:rPr>
          <w:rFonts w:ascii="Arial" w:eastAsia="Times New Roman" w:hAnsi="Arial" w:cs="Arial"/>
          <w:sz w:val="20"/>
          <w:szCs w:val="20"/>
          <w:u w:val="single"/>
          <w:lang w:eastAsia="fr-FR"/>
        </w:rPr>
        <w:t>i</w:t>
      </w:r>
      <w:r w:rsidR="00586B2A" w:rsidRPr="00D86AB5">
        <w:rPr>
          <w:rFonts w:ascii="Arial" w:eastAsia="Times New Roman" w:hAnsi="Arial" w:cs="Arial"/>
          <w:sz w:val="20"/>
          <w:szCs w:val="20"/>
          <w:u w:val="single"/>
          <w:lang w:eastAsia="fr-FR"/>
        </w:rPr>
        <w:t>atrice</w:t>
      </w:r>
      <w:r w:rsidRPr="00367C86">
        <w:rPr>
          <w:rFonts w:ascii="Arial" w:eastAsia="Times New Roman" w:hAnsi="Arial" w:cs="Arial"/>
          <w:sz w:val="20"/>
          <w:szCs w:val="20"/>
          <w:lang w:eastAsia="fr-FR"/>
        </w:rPr>
        <w:t xml:space="preserve"> : </w:t>
      </w:r>
    </w:p>
    <w:p w:rsidR="00586B2A" w:rsidRPr="00367C86" w:rsidRDefault="00586B2A" w:rsidP="00367C86">
      <w:pPr>
        <w:spacing w:after="100" w:afterAutospacing="1"/>
        <w:ind w:left="0" w:firstLine="0"/>
        <w:rPr>
          <w:rFonts w:ascii="Arial" w:eastAsia="Times New Roman" w:hAnsi="Arial" w:cs="Arial"/>
          <w:sz w:val="20"/>
          <w:szCs w:val="20"/>
          <w:lang w:eastAsia="fr-FR"/>
        </w:rPr>
      </w:pPr>
      <w:r w:rsidRPr="00367C86">
        <w:rPr>
          <w:rFonts w:ascii="Arial" w:eastAsia="Times New Roman" w:hAnsi="Arial" w:cs="Arial"/>
          <w:sz w:val="20"/>
          <w:szCs w:val="20"/>
          <w:lang w:eastAsia="fr-FR"/>
        </w:rPr>
        <w:t>A la fin du XIX</w:t>
      </w:r>
      <w:r w:rsidRPr="00367C86">
        <w:rPr>
          <w:rFonts w:ascii="Arial" w:eastAsia="Times New Roman" w:hAnsi="Arial" w:cs="Arial"/>
          <w:sz w:val="20"/>
          <w:szCs w:val="20"/>
          <w:vertAlign w:val="superscript"/>
          <w:lang w:eastAsia="fr-FR"/>
        </w:rPr>
        <w:t xml:space="preserve">ème </w:t>
      </w:r>
      <w:r w:rsidRPr="00367C86">
        <w:rPr>
          <w:rFonts w:ascii="Arial" w:eastAsia="Times New Roman" w:hAnsi="Arial" w:cs="Arial"/>
          <w:sz w:val="20"/>
          <w:szCs w:val="20"/>
          <w:lang w:eastAsia="fr-FR"/>
        </w:rPr>
        <w:t xml:space="preserve">siècle, le médecin et physicien français d’Arsonval avait exploré les effets biologiques d’une exposition à des courants alternatifs de diverses fréquences : il avait ainsi mis en évidence le fait que l’action du courant alternatif sur le corps change qualitativement avec la fréquence, passant d’une excitation efficace dans la fenêtre du kilohertz à un effet essentiellement thermique à des fréquences supérieures. Les limites de ses appareils ne lui ont cependant pas permis de vérifier ses constats pour des fréquences bien supérieures mais il avait mis en évidence une relation dose-réponse non linéaire. </w:t>
      </w:r>
    </w:p>
    <w:p w:rsidR="00717E57" w:rsidRPr="00367C86" w:rsidRDefault="001D0BBA" w:rsidP="00367C86">
      <w:pPr>
        <w:pStyle w:val="ds2-5-body-sm"/>
        <w:shd w:val="clear" w:color="auto" w:fill="FFFFFF"/>
        <w:spacing w:before="0" w:beforeAutospacing="0" w:after="0" w:afterAutospacing="0"/>
        <w:jc w:val="both"/>
        <w:rPr>
          <w:rFonts w:ascii="Arial" w:hAnsi="Arial" w:cs="Arial"/>
          <w:sz w:val="20"/>
          <w:szCs w:val="20"/>
        </w:rPr>
      </w:pPr>
      <w:r w:rsidRPr="00367C86">
        <w:rPr>
          <w:rFonts w:ascii="Arial" w:hAnsi="Arial" w:cs="Arial"/>
          <w:sz w:val="20"/>
          <w:szCs w:val="20"/>
        </w:rPr>
        <w:t>Dans les</w:t>
      </w:r>
      <w:r w:rsidR="00B733C6" w:rsidRPr="00367C86">
        <w:rPr>
          <w:rFonts w:ascii="Arial" w:hAnsi="Arial" w:cs="Arial"/>
          <w:sz w:val="20"/>
          <w:szCs w:val="20"/>
        </w:rPr>
        <w:t xml:space="preserve"> années 1970, </w:t>
      </w:r>
      <w:r w:rsidR="00586B2A" w:rsidRPr="00367C86">
        <w:rPr>
          <w:rFonts w:ascii="Arial" w:hAnsi="Arial" w:cs="Arial"/>
          <w:sz w:val="20"/>
          <w:szCs w:val="20"/>
        </w:rPr>
        <w:t>Zorach R. Glaser (appelé également Zory Glaser)</w:t>
      </w:r>
      <w:r w:rsidR="00B733C6" w:rsidRPr="00367C86">
        <w:rPr>
          <w:rFonts w:ascii="Arial" w:hAnsi="Arial" w:cs="Arial"/>
          <w:sz w:val="20"/>
          <w:szCs w:val="20"/>
        </w:rPr>
        <w:t>, chercheur au Naval Medical Research Institute, a</w:t>
      </w:r>
      <w:r w:rsidRPr="00367C86">
        <w:rPr>
          <w:rFonts w:ascii="Arial" w:hAnsi="Arial" w:cs="Arial"/>
          <w:sz w:val="20"/>
          <w:szCs w:val="20"/>
        </w:rPr>
        <w:t>vait mené sur plusieurs années une</w:t>
      </w:r>
      <w:r w:rsidR="00586B2A" w:rsidRPr="00367C86">
        <w:rPr>
          <w:rFonts w:ascii="Arial" w:hAnsi="Arial" w:cs="Arial"/>
          <w:sz w:val="20"/>
          <w:szCs w:val="20"/>
        </w:rPr>
        <w:t xml:space="preserve"> </w:t>
      </w:r>
      <w:r w:rsidRPr="00367C86">
        <w:rPr>
          <w:rFonts w:ascii="Arial" w:hAnsi="Arial" w:cs="Arial"/>
          <w:sz w:val="20"/>
          <w:szCs w:val="20"/>
        </w:rPr>
        <w:t xml:space="preserve">revue des études sur les effets des champs électromagnétique, y intégrant des </w:t>
      </w:r>
      <w:r w:rsidR="00586B2A" w:rsidRPr="00367C86">
        <w:rPr>
          <w:rFonts w:ascii="Arial" w:hAnsi="Arial" w:cs="Arial"/>
          <w:sz w:val="20"/>
          <w:szCs w:val="20"/>
        </w:rPr>
        <w:t>références soviéti</w:t>
      </w:r>
      <w:r w:rsidRPr="00367C86">
        <w:rPr>
          <w:rFonts w:ascii="Arial" w:hAnsi="Arial" w:cs="Arial"/>
          <w:sz w:val="20"/>
          <w:szCs w:val="20"/>
        </w:rPr>
        <w:t xml:space="preserve">ques et est-européennes </w:t>
      </w:r>
      <w:r w:rsidR="00B733C6" w:rsidRPr="00367C86">
        <w:rPr>
          <w:rFonts w:ascii="Arial" w:hAnsi="Arial" w:cs="Arial"/>
          <w:sz w:val="20"/>
          <w:szCs w:val="20"/>
        </w:rPr>
        <w:t>: rassemblant plus de 2300 références, son premier rapport date de 1971, suivi d’une mise à jour en 1972 et, à notre connaissance une revue systématique dét</w:t>
      </w:r>
      <w:r w:rsidRPr="00367C86">
        <w:rPr>
          <w:rFonts w:ascii="Arial" w:hAnsi="Arial" w:cs="Arial"/>
          <w:sz w:val="20"/>
          <w:szCs w:val="20"/>
        </w:rPr>
        <w:t>aillée datant de 1976. Ces travaux</w:t>
      </w:r>
      <w:r w:rsidR="00B733C6" w:rsidRPr="00367C86">
        <w:rPr>
          <w:rFonts w:ascii="Arial" w:hAnsi="Arial" w:cs="Arial"/>
          <w:sz w:val="20"/>
          <w:szCs w:val="20"/>
        </w:rPr>
        <w:t xml:space="preserve"> ont notamment été p</w:t>
      </w:r>
      <w:r w:rsidRPr="00367C86">
        <w:rPr>
          <w:rFonts w:ascii="Arial" w:hAnsi="Arial" w:cs="Arial"/>
          <w:sz w:val="20"/>
          <w:szCs w:val="20"/>
        </w:rPr>
        <w:t>résenté</w:t>
      </w:r>
      <w:r w:rsidR="00B733C6" w:rsidRPr="00367C86">
        <w:rPr>
          <w:rFonts w:ascii="Arial" w:hAnsi="Arial" w:cs="Arial"/>
          <w:sz w:val="20"/>
          <w:szCs w:val="20"/>
        </w:rPr>
        <w:t>s en 1969 lors d’</w:t>
      </w:r>
      <w:r w:rsidR="00586B2A" w:rsidRPr="00367C86">
        <w:rPr>
          <w:rFonts w:ascii="Arial" w:hAnsi="Arial" w:cs="Arial"/>
          <w:sz w:val="20"/>
          <w:szCs w:val="20"/>
        </w:rPr>
        <w:t xml:space="preserve">un Symposium sur les effets biologiques et les impacts sanitaires des rayonnements micro-ondes (Richmond, USA). </w:t>
      </w:r>
      <w:r w:rsidR="00B733C6" w:rsidRPr="00367C86">
        <w:rPr>
          <w:rFonts w:ascii="Arial" w:hAnsi="Arial" w:cs="Arial"/>
          <w:sz w:val="20"/>
          <w:szCs w:val="20"/>
        </w:rPr>
        <w:t xml:space="preserve">La liste des effets recensés dans la version de 1972 est </w:t>
      </w:r>
      <w:r w:rsidR="00952E72" w:rsidRPr="00367C86">
        <w:rPr>
          <w:rFonts w:ascii="Arial" w:hAnsi="Arial" w:cs="Arial"/>
          <w:sz w:val="20"/>
          <w:szCs w:val="20"/>
        </w:rPr>
        <w:t>impressionnante</w:t>
      </w:r>
      <w:r w:rsidR="00952E72" w:rsidRPr="00367C86">
        <w:rPr>
          <w:rStyle w:val="Appelnotedebasdep"/>
          <w:rFonts w:ascii="Arial" w:hAnsi="Arial" w:cs="Arial"/>
          <w:sz w:val="20"/>
          <w:szCs w:val="20"/>
        </w:rPr>
        <w:footnoteReference w:id="62"/>
      </w:r>
      <w:r w:rsidR="00952E72" w:rsidRPr="00367C86">
        <w:rPr>
          <w:rFonts w:ascii="Arial" w:hAnsi="Arial" w:cs="Arial"/>
          <w:sz w:val="20"/>
          <w:szCs w:val="20"/>
        </w:rPr>
        <w:t xml:space="preserve"> et </w:t>
      </w:r>
      <w:r w:rsidR="00B733C6" w:rsidRPr="00367C86">
        <w:rPr>
          <w:rFonts w:ascii="Arial" w:hAnsi="Arial" w:cs="Arial"/>
          <w:sz w:val="20"/>
          <w:szCs w:val="20"/>
        </w:rPr>
        <w:t xml:space="preserve">la discussion accompagnant </w:t>
      </w:r>
      <w:r w:rsidR="00586B2A" w:rsidRPr="00367C86">
        <w:rPr>
          <w:rFonts w:ascii="Arial" w:hAnsi="Arial" w:cs="Arial"/>
          <w:sz w:val="20"/>
          <w:szCs w:val="20"/>
        </w:rPr>
        <w:t xml:space="preserve"> </w:t>
      </w:r>
      <w:r w:rsidR="00B733C6" w:rsidRPr="00367C86">
        <w:rPr>
          <w:rFonts w:ascii="Arial" w:hAnsi="Arial" w:cs="Arial"/>
          <w:sz w:val="20"/>
          <w:szCs w:val="20"/>
        </w:rPr>
        <w:t>l’étude de 1976</w:t>
      </w:r>
      <w:r w:rsidR="00952E72" w:rsidRPr="00367C86">
        <w:rPr>
          <w:rFonts w:ascii="Arial" w:hAnsi="Arial" w:cs="Arial"/>
          <w:sz w:val="20"/>
          <w:szCs w:val="20"/>
        </w:rPr>
        <w:t xml:space="preserve"> </w:t>
      </w:r>
      <w:r w:rsidR="00586B2A" w:rsidRPr="00367C86">
        <w:rPr>
          <w:rFonts w:ascii="Arial" w:hAnsi="Arial" w:cs="Arial"/>
          <w:sz w:val="20"/>
          <w:szCs w:val="20"/>
        </w:rPr>
        <w:t xml:space="preserve">très intéressante. </w:t>
      </w:r>
      <w:r w:rsidR="00465D65" w:rsidRPr="00367C86">
        <w:rPr>
          <w:rFonts w:ascii="Arial" w:hAnsi="Arial" w:cs="Arial"/>
          <w:sz w:val="20"/>
          <w:szCs w:val="20"/>
        </w:rPr>
        <w:t>Outre le fait qu’à sa lecture nous comprenions que des effets sont connus depuis plus de 50 ans, Glaser met également</w:t>
      </w:r>
      <w:r w:rsidR="00586B2A" w:rsidRPr="00367C86">
        <w:rPr>
          <w:rFonts w:ascii="Arial" w:hAnsi="Arial" w:cs="Arial"/>
          <w:sz w:val="20"/>
          <w:szCs w:val="20"/>
        </w:rPr>
        <w:t xml:space="preserve"> en évidence la querelle entre deux écoles de pensée : celle du bloc de l’Est et celle du bloc de l’Ouest. Les recherches Soviétiques et de l’Europe de l’Est s’orientent alors en effet de plus en plus vers l</w:t>
      </w:r>
      <w:r w:rsidR="00717E57" w:rsidRPr="00367C86">
        <w:rPr>
          <w:rFonts w:ascii="Arial" w:hAnsi="Arial" w:cs="Arial"/>
          <w:sz w:val="20"/>
          <w:szCs w:val="20"/>
        </w:rPr>
        <w:t>’observation</w:t>
      </w:r>
      <w:r w:rsidR="00586B2A" w:rsidRPr="00367C86">
        <w:rPr>
          <w:rFonts w:ascii="Arial" w:hAnsi="Arial" w:cs="Arial"/>
          <w:sz w:val="20"/>
          <w:szCs w:val="20"/>
        </w:rPr>
        <w:t xml:space="preserve"> d’effets athermiques, tandis que les chercheurs du bloc de l’Ouest restent sur les effets thermiques, avec notamment pour conséquence des seuils pour l’exposition professionnelle 1000 fois plus élevés qu’à l’Est. </w:t>
      </w:r>
    </w:p>
    <w:p w:rsidR="00586B2A" w:rsidRPr="00367C86" w:rsidRDefault="00586B2A" w:rsidP="00367C86">
      <w:pPr>
        <w:pStyle w:val="ds2-5-body-sm"/>
        <w:shd w:val="clear" w:color="auto" w:fill="FFFFFF"/>
        <w:spacing w:before="0" w:beforeAutospacing="0" w:after="0" w:afterAutospacing="0"/>
        <w:jc w:val="both"/>
        <w:rPr>
          <w:rFonts w:ascii="Arial" w:hAnsi="Arial" w:cs="Arial"/>
          <w:sz w:val="20"/>
          <w:szCs w:val="20"/>
        </w:rPr>
      </w:pPr>
      <w:r w:rsidRPr="00367C86">
        <w:rPr>
          <w:rFonts w:ascii="Arial" w:hAnsi="Arial" w:cs="Arial"/>
          <w:sz w:val="20"/>
          <w:szCs w:val="20"/>
        </w:rPr>
        <w:t>Il est particulièrement intéressant de noter ceci :</w:t>
      </w:r>
      <w:r w:rsidR="00717E57" w:rsidRPr="00367C86">
        <w:rPr>
          <w:rFonts w:ascii="Arial" w:hAnsi="Arial" w:cs="Arial"/>
          <w:sz w:val="20"/>
          <w:szCs w:val="20"/>
        </w:rPr>
        <w:t xml:space="preserve"> p.3</w:t>
      </w:r>
      <w:r w:rsidRPr="00367C86">
        <w:rPr>
          <w:rFonts w:ascii="Arial" w:hAnsi="Arial" w:cs="Arial"/>
          <w:sz w:val="20"/>
          <w:szCs w:val="20"/>
        </w:rPr>
        <w:t xml:space="preserve"> de son document</w:t>
      </w:r>
      <w:r w:rsidR="001D0BBA" w:rsidRPr="00367C86">
        <w:rPr>
          <w:rFonts w:ascii="Arial" w:hAnsi="Arial" w:cs="Arial"/>
          <w:sz w:val="20"/>
          <w:szCs w:val="20"/>
        </w:rPr>
        <w:t xml:space="preserve"> de 1976</w:t>
      </w:r>
      <w:r w:rsidRPr="00367C86">
        <w:rPr>
          <w:rFonts w:ascii="Arial" w:hAnsi="Arial" w:cs="Arial"/>
          <w:sz w:val="20"/>
          <w:szCs w:val="20"/>
        </w:rPr>
        <w:t>, à la partie « Thermal versus non-thermal theory », Glaser parle « d’effets non-thermiques (ou athermiques) ». Puis met un point. Puis ouvre une parenthèse avec des propos qu’il termine également par un point, puis referme la pa</w:t>
      </w:r>
      <w:r w:rsidR="00717E57" w:rsidRPr="00367C86">
        <w:rPr>
          <w:rFonts w:ascii="Arial" w:hAnsi="Arial" w:cs="Arial"/>
          <w:sz w:val="20"/>
          <w:szCs w:val="20"/>
        </w:rPr>
        <w:t>renthèse et passe à la</w:t>
      </w:r>
      <w:r w:rsidRPr="00367C86">
        <w:rPr>
          <w:rFonts w:ascii="Arial" w:hAnsi="Arial" w:cs="Arial"/>
          <w:sz w:val="20"/>
          <w:szCs w:val="20"/>
        </w:rPr>
        <w:t xml:space="preserve"> phrase suivante.</w:t>
      </w:r>
      <w:r w:rsidR="00DE650C" w:rsidRPr="00367C86">
        <w:rPr>
          <w:rFonts w:ascii="Arial" w:hAnsi="Arial" w:cs="Arial"/>
          <w:sz w:val="20"/>
          <w:szCs w:val="20"/>
        </w:rPr>
        <w:t xml:space="preserve"> L</w:t>
      </w:r>
      <w:r w:rsidRPr="00367C86">
        <w:rPr>
          <w:rFonts w:ascii="Arial" w:hAnsi="Arial" w:cs="Arial"/>
          <w:sz w:val="20"/>
          <w:szCs w:val="20"/>
        </w:rPr>
        <w:t>’usage à l’époque de la machine à é</w:t>
      </w:r>
      <w:r w:rsidR="00DE650C" w:rsidRPr="00367C86">
        <w:rPr>
          <w:rFonts w:ascii="Arial" w:hAnsi="Arial" w:cs="Arial"/>
          <w:sz w:val="20"/>
          <w:szCs w:val="20"/>
        </w:rPr>
        <w:t>crire a permis de conserver</w:t>
      </w:r>
      <w:r w:rsidR="00717E57" w:rsidRPr="00367C86">
        <w:rPr>
          <w:rFonts w:ascii="Arial" w:hAnsi="Arial" w:cs="Arial"/>
          <w:sz w:val="20"/>
          <w:szCs w:val="20"/>
        </w:rPr>
        <w:t xml:space="preserve"> la trace</w:t>
      </w:r>
      <w:r w:rsidR="00DE650C" w:rsidRPr="00367C86">
        <w:rPr>
          <w:rFonts w:ascii="Arial" w:hAnsi="Arial" w:cs="Arial"/>
          <w:sz w:val="20"/>
          <w:szCs w:val="20"/>
        </w:rPr>
        <w:t xml:space="preserve"> d’un signe (d’hésitation ? de rappel d’une suggestion qu’il avait déjà faite, qui n’a pas été retenue mais qu’il suggère à nouveau ?)</w:t>
      </w:r>
      <w:r w:rsidRPr="00367C86">
        <w:rPr>
          <w:rFonts w:ascii="Arial" w:hAnsi="Arial" w:cs="Arial"/>
          <w:sz w:val="20"/>
          <w:szCs w:val="20"/>
        </w:rPr>
        <w:t>. En effet, Glaser ajoute entre parenthèses : « Ou, comme suggéré à la réunion de Richmond en 1969, usage du terme « effet</w:t>
      </w:r>
      <w:r w:rsidR="00717E57" w:rsidRPr="00367C86">
        <w:rPr>
          <w:rFonts w:ascii="Arial" w:hAnsi="Arial" w:cs="Arial"/>
          <w:sz w:val="20"/>
          <w:szCs w:val="20"/>
        </w:rPr>
        <w:t>s</w:t>
      </w:r>
      <w:r w:rsidRPr="00367C86">
        <w:rPr>
          <w:rFonts w:ascii="Arial" w:hAnsi="Arial" w:cs="Arial"/>
          <w:sz w:val="20"/>
          <w:szCs w:val="20"/>
        </w:rPr>
        <w:t xml:space="preserve"> micro-thermique</w:t>
      </w:r>
      <w:r w:rsidR="00717E57" w:rsidRPr="00367C86">
        <w:rPr>
          <w:rFonts w:ascii="Arial" w:hAnsi="Arial" w:cs="Arial"/>
          <w:sz w:val="20"/>
          <w:szCs w:val="20"/>
        </w:rPr>
        <w:t>s</w:t>
      </w:r>
      <w:r w:rsidRPr="00367C86">
        <w:rPr>
          <w:rFonts w:ascii="Arial" w:hAnsi="Arial" w:cs="Arial"/>
          <w:sz w:val="20"/>
          <w:szCs w:val="20"/>
        </w:rPr>
        <w:t> »). Voici donc une hypothèse propre à réconcilier les deux camps : entre effets athermiques et effets thermiques, ce ne serait qu’une question d</w:t>
      </w:r>
      <w:r w:rsidR="00717E57" w:rsidRPr="00367C86">
        <w:rPr>
          <w:rFonts w:ascii="Arial" w:hAnsi="Arial" w:cs="Arial"/>
          <w:sz w:val="20"/>
          <w:szCs w:val="20"/>
        </w:rPr>
        <w:t>’échelle d’observation.</w:t>
      </w:r>
    </w:p>
    <w:p w:rsidR="00643F04" w:rsidRPr="00367C86" w:rsidRDefault="00586B2A" w:rsidP="00367C86">
      <w:pPr>
        <w:spacing w:before="100" w:beforeAutospacing="1" w:after="240"/>
        <w:ind w:left="0" w:firstLine="0"/>
        <w:rPr>
          <w:rFonts w:ascii="Arial" w:hAnsi="Arial" w:cs="Arial"/>
          <w:sz w:val="20"/>
          <w:szCs w:val="20"/>
        </w:rPr>
      </w:pPr>
      <w:r w:rsidRPr="00367C86">
        <w:rPr>
          <w:rFonts w:ascii="Arial" w:hAnsi="Arial" w:cs="Arial"/>
          <w:sz w:val="20"/>
          <w:szCs w:val="20"/>
        </w:rPr>
        <w:t xml:space="preserve">. </w:t>
      </w:r>
      <w:r w:rsidR="00643F04" w:rsidRPr="00D86AB5">
        <w:rPr>
          <w:rFonts w:ascii="Arial" w:hAnsi="Arial" w:cs="Arial"/>
          <w:sz w:val="20"/>
          <w:szCs w:val="20"/>
          <w:u w:val="single"/>
        </w:rPr>
        <w:t>L</w:t>
      </w:r>
      <w:r w:rsidR="00643F04" w:rsidRPr="00D86AB5">
        <w:rPr>
          <w:rFonts w:ascii="Arial" w:eastAsia="Times New Roman" w:hAnsi="Arial" w:cs="Arial"/>
          <w:sz w:val="20"/>
          <w:szCs w:val="20"/>
          <w:u w:val="single"/>
          <w:lang w:eastAsia="fr-FR"/>
        </w:rPr>
        <w:t>’hypothèse des courants induits</w:t>
      </w:r>
      <w:r w:rsidR="00643F04" w:rsidRPr="00367C86">
        <w:rPr>
          <w:rFonts w:ascii="Arial" w:hAnsi="Arial" w:cs="Arial"/>
          <w:sz w:val="20"/>
          <w:szCs w:val="20"/>
        </w:rPr>
        <w:t xml:space="preserve"> : </w:t>
      </w:r>
    </w:p>
    <w:p w:rsidR="00643F04" w:rsidRPr="00367C86" w:rsidRDefault="00643F04" w:rsidP="00367C86">
      <w:pPr>
        <w:ind w:left="0" w:firstLine="0"/>
        <w:rPr>
          <w:rFonts w:ascii="Arial" w:hAnsi="Arial" w:cs="Arial"/>
          <w:sz w:val="20"/>
          <w:szCs w:val="20"/>
        </w:rPr>
      </w:pPr>
      <w:r w:rsidRPr="00367C86">
        <w:rPr>
          <w:rFonts w:ascii="Arial" w:hAnsi="Arial" w:cs="Arial"/>
          <w:sz w:val="20"/>
          <w:szCs w:val="20"/>
        </w:rPr>
        <w:t>i</w:t>
      </w:r>
      <w:r w:rsidR="00586B2A" w:rsidRPr="00367C86">
        <w:rPr>
          <w:rFonts w:ascii="Arial" w:hAnsi="Arial" w:cs="Arial"/>
          <w:sz w:val="20"/>
          <w:szCs w:val="20"/>
        </w:rPr>
        <w:t>l est une autre hypothèse sur laquelle se penchent des chercheurs actuellement : l’hypothèse des courants induits. Si sur les effets biologiques d’une exposition aux radiofréquences existent des questionnements et des mécanismes encore inexpliqués, il est des lois fondamentales de l’électromagnétisme (comme celles de Faraday, Lenz et Henry) qui sont avérées : et qui indiquent que toute variation rapide d’un champ électromagnétique peut induire des courants électriques dans les matériaux non conducteurs, appelés diélectriques</w:t>
      </w:r>
      <w:r w:rsidR="00586B2A" w:rsidRPr="00367C86">
        <w:rPr>
          <w:rStyle w:val="Appelnotedebasdep"/>
          <w:rFonts w:ascii="Arial" w:hAnsi="Arial" w:cs="Arial"/>
          <w:sz w:val="20"/>
          <w:szCs w:val="20"/>
        </w:rPr>
        <w:footnoteReference w:id="63"/>
      </w:r>
      <w:r w:rsidR="00586B2A" w:rsidRPr="00367C86">
        <w:rPr>
          <w:rFonts w:ascii="Arial" w:hAnsi="Arial" w:cs="Arial"/>
          <w:sz w:val="20"/>
          <w:szCs w:val="20"/>
        </w:rPr>
        <w:t xml:space="preserve">. Or, les tissus biologiques humains, à forte teneur en eau et en ions, se comportent en grande partie comme des milieux diélectriques. Le </w:t>
      </w:r>
      <w:r w:rsidR="00586B2A" w:rsidRPr="00367C86">
        <w:rPr>
          <w:rStyle w:val="lev"/>
          <w:rFonts w:ascii="Arial" w:hAnsi="Arial" w:cs="Arial"/>
          <w:b w:val="0"/>
          <w:sz w:val="20"/>
          <w:szCs w:val="20"/>
        </w:rPr>
        <w:t>corps humain</w:t>
      </w:r>
      <w:r w:rsidR="00586B2A" w:rsidRPr="00367C86">
        <w:rPr>
          <w:rFonts w:ascii="Arial" w:hAnsi="Arial" w:cs="Arial"/>
          <w:sz w:val="20"/>
          <w:szCs w:val="20"/>
        </w:rPr>
        <w:t xml:space="preserve"> peut ainsi </w:t>
      </w:r>
      <w:r w:rsidR="00586B2A" w:rsidRPr="00367C86">
        <w:rPr>
          <w:rStyle w:val="lev"/>
          <w:rFonts w:ascii="Arial" w:hAnsi="Arial" w:cs="Arial"/>
          <w:b w:val="0"/>
          <w:sz w:val="20"/>
          <w:szCs w:val="20"/>
        </w:rPr>
        <w:t>accumuler des charges</w:t>
      </w:r>
      <w:r w:rsidR="00586B2A" w:rsidRPr="00367C86">
        <w:rPr>
          <w:rFonts w:ascii="Arial" w:hAnsi="Arial" w:cs="Arial"/>
          <w:sz w:val="20"/>
          <w:szCs w:val="20"/>
        </w:rPr>
        <w:t xml:space="preserve">, se </w:t>
      </w:r>
      <w:r w:rsidR="00586B2A" w:rsidRPr="00367C86">
        <w:rPr>
          <w:rStyle w:val="lev"/>
          <w:rFonts w:ascii="Arial" w:hAnsi="Arial" w:cs="Arial"/>
          <w:b w:val="0"/>
          <w:sz w:val="20"/>
          <w:szCs w:val="20"/>
        </w:rPr>
        <w:t>polariser</w:t>
      </w:r>
      <w:r w:rsidR="00586B2A" w:rsidRPr="00367C86">
        <w:rPr>
          <w:rFonts w:ascii="Arial" w:hAnsi="Arial" w:cs="Arial"/>
          <w:sz w:val="20"/>
          <w:szCs w:val="20"/>
        </w:rPr>
        <w:t xml:space="preserve"> sous l’effet d’un champ électromagnétique, et </w:t>
      </w:r>
      <w:r w:rsidR="00586B2A" w:rsidRPr="00367C86">
        <w:rPr>
          <w:rStyle w:val="lev"/>
          <w:rFonts w:ascii="Arial" w:hAnsi="Arial" w:cs="Arial"/>
          <w:b w:val="0"/>
          <w:sz w:val="20"/>
          <w:szCs w:val="20"/>
        </w:rPr>
        <w:t>interagir avec les radiofréquences</w:t>
      </w:r>
      <w:r w:rsidR="00586B2A" w:rsidRPr="00367C86">
        <w:rPr>
          <w:rFonts w:ascii="Arial" w:hAnsi="Arial" w:cs="Arial"/>
          <w:sz w:val="20"/>
          <w:szCs w:val="20"/>
        </w:rPr>
        <w:t>, comme un diélectrique.</w:t>
      </w:r>
    </w:p>
    <w:p w:rsidR="00586B2A" w:rsidRPr="00367C86" w:rsidRDefault="00586B2A" w:rsidP="00367C86">
      <w:pPr>
        <w:ind w:left="0" w:firstLine="0"/>
        <w:rPr>
          <w:rFonts w:ascii="Arial" w:hAnsi="Arial" w:cs="Arial"/>
          <w:sz w:val="20"/>
          <w:szCs w:val="20"/>
        </w:rPr>
      </w:pPr>
      <w:r w:rsidRPr="00367C86">
        <w:rPr>
          <w:rFonts w:ascii="Arial" w:hAnsi="Arial" w:cs="Arial"/>
          <w:sz w:val="20"/>
          <w:szCs w:val="20"/>
        </w:rPr>
        <w:t xml:space="preserve">Plus la variation du champ est rapide dans le temps (variation brutale), plus l’intensité du courant induit peut être importante. En revanche, lorsque la fréquence des variations augmente (ex : radiofréquences très hautes), ces courants induits ont tendance à s’atténuer, voire à devenir négligeables, ce qui explique pourquoi certaines agences comme l’ANSES estiment qu’il n’y a pas d’effet significatif lié aux courants induits à ces fréquences. Cependant, cette conclusion repose sur l’hypothèse que les variations sont régulières et alternées (comme dans une onde sinusoïdale simple). Or, comme nous l’avons vu plus haut, les signaux réels – notamment ceux issus des transmissions numériques multiplexées (Wifi, 5G, par </w:t>
      </w:r>
      <w:r w:rsidRPr="00367C86">
        <w:rPr>
          <w:rFonts w:ascii="Arial" w:hAnsi="Arial" w:cs="Arial"/>
          <w:sz w:val="20"/>
          <w:szCs w:val="20"/>
        </w:rPr>
        <w:lastRenderedPageBreak/>
        <w:t>exemple) – sont composés de multiples sous-porteuses modulées de façon complexe, engendrant des variations de champ très irrégulières et brutales.</w:t>
      </w:r>
    </w:p>
    <w:p w:rsidR="00586B2A" w:rsidRPr="00367C86" w:rsidRDefault="00586B2A" w:rsidP="00367C86">
      <w:pPr>
        <w:ind w:left="0" w:firstLine="0"/>
        <w:rPr>
          <w:rFonts w:ascii="Arial" w:hAnsi="Arial" w:cs="Arial"/>
          <w:sz w:val="20"/>
          <w:szCs w:val="20"/>
        </w:rPr>
      </w:pPr>
      <w:r w:rsidRPr="00367C86">
        <w:rPr>
          <w:rFonts w:ascii="Arial" w:hAnsi="Arial" w:cs="Arial"/>
          <w:sz w:val="20"/>
          <w:szCs w:val="20"/>
        </w:rPr>
        <w:t>Ces variations peuvent, en théorie, produire des courants induits transitoires et imprévisibles dans l’organisme. Certains chercheurs suggèrent que ces courants pourraient interférer avec les processus bioélectriques normaux du corps (comme la signalisation ionique ou les potentiels d’action), et donc perturber certaines fonctions biologiques</w:t>
      </w:r>
      <w:r w:rsidR="001B1B48" w:rsidRPr="00367C86">
        <w:rPr>
          <w:rStyle w:val="Appelnotedebasdep"/>
          <w:rFonts w:ascii="Arial" w:hAnsi="Arial" w:cs="Arial"/>
          <w:sz w:val="20"/>
          <w:szCs w:val="20"/>
        </w:rPr>
        <w:footnoteReference w:id="64"/>
      </w:r>
      <w:r w:rsidRPr="00367C86">
        <w:rPr>
          <w:rFonts w:ascii="Arial" w:hAnsi="Arial" w:cs="Arial"/>
          <w:sz w:val="20"/>
          <w:szCs w:val="20"/>
        </w:rPr>
        <w:t xml:space="preserve">. C’était là notamment une explication avancée par le </w:t>
      </w:r>
      <w:r w:rsidR="001B1B48" w:rsidRPr="00367C86">
        <w:rPr>
          <w:rFonts w:ascii="Arial" w:hAnsi="Arial" w:cs="Arial"/>
          <w:sz w:val="20"/>
          <w:szCs w:val="20"/>
        </w:rPr>
        <w:t xml:space="preserve">Docteur Maschi dans son ouvrage </w:t>
      </w:r>
      <w:r w:rsidR="001B1B48" w:rsidRPr="00367C86">
        <w:rPr>
          <w:rFonts w:ascii="Arial" w:hAnsi="Arial" w:cs="Arial"/>
          <w:i/>
          <w:sz w:val="20"/>
          <w:szCs w:val="20"/>
        </w:rPr>
        <w:t>Combat pour une idée, La pollution él</w:t>
      </w:r>
      <w:r w:rsidR="001B478C" w:rsidRPr="00367C86">
        <w:rPr>
          <w:rFonts w:ascii="Arial" w:hAnsi="Arial" w:cs="Arial"/>
          <w:i/>
          <w:sz w:val="20"/>
          <w:szCs w:val="20"/>
        </w:rPr>
        <w:t>e</w:t>
      </w:r>
      <w:r w:rsidR="001B1B48" w:rsidRPr="00367C86">
        <w:rPr>
          <w:rFonts w:ascii="Arial" w:hAnsi="Arial" w:cs="Arial"/>
          <w:i/>
          <w:sz w:val="20"/>
          <w:szCs w:val="20"/>
        </w:rPr>
        <w:t>ctromagnétique</w:t>
      </w:r>
      <w:r w:rsidR="001B1B48" w:rsidRPr="00367C86">
        <w:rPr>
          <w:rFonts w:ascii="Arial" w:hAnsi="Arial" w:cs="Arial"/>
          <w:sz w:val="20"/>
          <w:szCs w:val="20"/>
        </w:rPr>
        <w:t xml:space="preserve"> (2005).</w:t>
      </w:r>
    </w:p>
    <w:p w:rsidR="0069483A" w:rsidRPr="00367C86" w:rsidRDefault="00586B2A" w:rsidP="00367C86">
      <w:pPr>
        <w:tabs>
          <w:tab w:val="left" w:pos="1122"/>
        </w:tabs>
        <w:spacing w:before="100" w:beforeAutospacing="1" w:after="100" w:afterAutospacing="1"/>
        <w:ind w:left="0" w:firstLine="0"/>
        <w:rPr>
          <w:rFonts w:ascii="Arial" w:hAnsi="Arial" w:cs="Arial"/>
          <w:sz w:val="20"/>
          <w:szCs w:val="20"/>
        </w:rPr>
      </w:pPr>
      <w:r w:rsidRPr="00367C86">
        <w:rPr>
          <w:rFonts w:ascii="Arial" w:hAnsi="Arial" w:cs="Arial"/>
          <w:sz w:val="20"/>
          <w:szCs w:val="20"/>
        </w:rPr>
        <w:t>Avant de clore cette partie, précisons qu’</w:t>
      </w:r>
      <w:r w:rsidR="00085160" w:rsidRPr="00367C86">
        <w:rPr>
          <w:rFonts w:ascii="Arial" w:hAnsi="Arial" w:cs="Arial"/>
          <w:sz w:val="20"/>
          <w:szCs w:val="20"/>
        </w:rPr>
        <w:t>il ne sera pas né</w:t>
      </w:r>
      <w:r w:rsidR="00602EC0" w:rsidRPr="00367C86">
        <w:rPr>
          <w:rFonts w:ascii="Arial" w:hAnsi="Arial" w:cs="Arial"/>
          <w:sz w:val="20"/>
          <w:szCs w:val="20"/>
        </w:rPr>
        <w:t>cessaire de consacrer plus qu’un paragraphe</w:t>
      </w:r>
      <w:r w:rsidR="00085160" w:rsidRPr="00367C86">
        <w:rPr>
          <w:rFonts w:ascii="Arial" w:hAnsi="Arial" w:cs="Arial"/>
          <w:sz w:val="20"/>
          <w:szCs w:val="20"/>
        </w:rPr>
        <w:t xml:space="preserve"> aux</w:t>
      </w:r>
      <w:r w:rsidR="006D73CE" w:rsidRPr="00367C86">
        <w:rPr>
          <w:rFonts w:ascii="Arial" w:hAnsi="Arial" w:cs="Arial"/>
          <w:sz w:val="20"/>
          <w:szCs w:val="20"/>
        </w:rPr>
        <w:t xml:space="preserve"> dernières études menées sur les riverain.e.s d’antennes</w:t>
      </w:r>
      <w:r w:rsidR="00085160" w:rsidRPr="00367C86">
        <w:rPr>
          <w:rFonts w:ascii="Arial" w:hAnsi="Arial" w:cs="Arial"/>
          <w:sz w:val="20"/>
          <w:szCs w:val="20"/>
        </w:rPr>
        <w:t>-relais de téléphonie mobile : il n’y en a pas</w:t>
      </w:r>
      <w:r w:rsidR="00410966">
        <w:rPr>
          <w:rFonts w:ascii="Arial" w:hAnsi="Arial" w:cs="Arial"/>
          <w:sz w:val="20"/>
          <w:szCs w:val="20"/>
        </w:rPr>
        <w:t xml:space="preserve"> de récente</w:t>
      </w:r>
      <w:r w:rsidR="00085160" w:rsidRPr="00367C86">
        <w:rPr>
          <w:rFonts w:ascii="Arial" w:hAnsi="Arial" w:cs="Arial"/>
          <w:sz w:val="20"/>
          <w:szCs w:val="20"/>
        </w:rPr>
        <w:t>. L</w:t>
      </w:r>
      <w:r w:rsidR="00AD08B3" w:rsidRPr="00367C86">
        <w:rPr>
          <w:rFonts w:ascii="Arial" w:hAnsi="Arial" w:cs="Arial"/>
          <w:sz w:val="20"/>
          <w:szCs w:val="20"/>
        </w:rPr>
        <w:t xml:space="preserve">a dernière date de 2015, en Inde (Gandhi et al., 2015) et le professeur Roger Santini qui, en France, en avait fait un sujet, est décédé en 2006. </w:t>
      </w:r>
      <w:r w:rsidR="00085160" w:rsidRPr="00367C86">
        <w:rPr>
          <w:rFonts w:ascii="Arial" w:hAnsi="Arial" w:cs="Arial"/>
          <w:sz w:val="20"/>
          <w:szCs w:val="20"/>
        </w:rPr>
        <w:t>Vous trouverez en annexe 20 un tableau récapitulatif des études menées sur les riverain.e.s d’antennes-relais de téléphonie mobile à travers le monde.</w:t>
      </w:r>
      <w:r w:rsidR="0059074F" w:rsidRPr="00367C86">
        <w:rPr>
          <w:rFonts w:ascii="Arial" w:hAnsi="Arial" w:cs="Arial"/>
          <w:sz w:val="20"/>
          <w:szCs w:val="20"/>
        </w:rPr>
        <w:t xml:space="preserve"> </w:t>
      </w:r>
      <w:r w:rsidR="00AD08B3" w:rsidRPr="00367C86">
        <w:rPr>
          <w:rFonts w:ascii="Arial" w:hAnsi="Arial" w:cs="Arial"/>
          <w:sz w:val="20"/>
          <w:szCs w:val="20"/>
        </w:rPr>
        <w:t xml:space="preserve">Les symptômes déclarés voire les </w:t>
      </w:r>
      <w:r w:rsidR="001E250A" w:rsidRPr="00367C86">
        <w:rPr>
          <w:rFonts w:ascii="Arial" w:hAnsi="Arial" w:cs="Arial"/>
          <w:sz w:val="20"/>
          <w:szCs w:val="20"/>
        </w:rPr>
        <w:t>tests biologiques validés ne p</w:t>
      </w:r>
      <w:r w:rsidR="0059074F" w:rsidRPr="00367C86">
        <w:rPr>
          <w:rFonts w:ascii="Arial" w:hAnsi="Arial" w:cs="Arial"/>
          <w:sz w:val="20"/>
          <w:szCs w:val="20"/>
        </w:rPr>
        <w:t>e</w:t>
      </w:r>
      <w:r w:rsidR="001E250A" w:rsidRPr="00367C86">
        <w:rPr>
          <w:rFonts w:ascii="Arial" w:hAnsi="Arial" w:cs="Arial"/>
          <w:sz w:val="20"/>
          <w:szCs w:val="20"/>
        </w:rPr>
        <w:t xml:space="preserve">uvent en soi </w:t>
      </w:r>
      <w:r w:rsidR="00AD08B3" w:rsidRPr="00367C86">
        <w:rPr>
          <w:rFonts w:ascii="Arial" w:hAnsi="Arial" w:cs="Arial"/>
          <w:sz w:val="20"/>
          <w:szCs w:val="20"/>
        </w:rPr>
        <w:t xml:space="preserve">établir de lien de causalité toutefois ne serait-il pas possible de documenter </w:t>
      </w:r>
      <w:r w:rsidR="001E250A" w:rsidRPr="00367C86">
        <w:rPr>
          <w:rFonts w:ascii="Arial" w:hAnsi="Arial" w:cs="Arial"/>
          <w:sz w:val="20"/>
          <w:szCs w:val="20"/>
        </w:rPr>
        <w:t xml:space="preserve">plus avant </w:t>
      </w:r>
      <w:r w:rsidR="00AD08B3" w:rsidRPr="00367C86">
        <w:rPr>
          <w:rFonts w:ascii="Arial" w:hAnsi="Arial" w:cs="Arial"/>
          <w:sz w:val="20"/>
          <w:szCs w:val="20"/>
        </w:rPr>
        <w:t>le sujet, compte-tenu des évolutions technologiques de ces 10 dernières années ?</w:t>
      </w:r>
    </w:p>
    <w:p w:rsidR="001E250A" w:rsidRPr="00367C86" w:rsidRDefault="001E250A" w:rsidP="00367C86">
      <w:pPr>
        <w:tabs>
          <w:tab w:val="left" w:pos="1122"/>
        </w:tabs>
        <w:spacing w:before="100" w:beforeAutospacing="1" w:after="100" w:afterAutospacing="1"/>
        <w:ind w:left="0" w:firstLine="0"/>
        <w:rPr>
          <w:rFonts w:ascii="Arial" w:hAnsi="Arial" w:cs="Arial"/>
          <w:sz w:val="20"/>
          <w:szCs w:val="20"/>
        </w:rPr>
      </w:pPr>
      <w:r w:rsidRPr="00367C86">
        <w:rPr>
          <w:rFonts w:ascii="Arial" w:hAnsi="Arial" w:cs="Arial"/>
          <w:sz w:val="20"/>
          <w:szCs w:val="20"/>
        </w:rPr>
        <w:t>A la complexité et à la multiplicité du sujet viennent ainsi s’ajouter des carences de données et des limites méthodologiques. Dans ce contexte, que dit la science réglementaire, celle qui établit les valeurs limites d’exposition et à laquelle se réfèrent les décideurs politiques pour la gestion de ce qu’un faisceau de présomption tendrait à faire prendre l’apparence d’un risque ?</w:t>
      </w:r>
    </w:p>
    <w:p w:rsidR="00BE5344" w:rsidRPr="00367C86" w:rsidRDefault="00511C13" w:rsidP="009F3BB0">
      <w:pPr>
        <w:pStyle w:val="NormalWeb"/>
        <w:numPr>
          <w:ilvl w:val="0"/>
          <w:numId w:val="16"/>
        </w:numPr>
        <w:jc w:val="both"/>
        <w:rPr>
          <w:rFonts w:ascii="Arial" w:hAnsi="Arial" w:cs="Arial"/>
          <w:sz w:val="20"/>
          <w:szCs w:val="20"/>
        </w:rPr>
      </w:pPr>
      <w:r w:rsidRPr="00367C86">
        <w:rPr>
          <w:rFonts w:ascii="Arial" w:hAnsi="Arial" w:cs="Arial"/>
          <w:sz w:val="20"/>
          <w:szCs w:val="20"/>
        </w:rPr>
        <w:t>Effets athermiques :</w:t>
      </w:r>
      <w:r w:rsidR="00BE5344" w:rsidRPr="00367C86">
        <w:rPr>
          <w:rFonts w:ascii="Arial" w:hAnsi="Arial" w:cs="Arial"/>
          <w:sz w:val="20"/>
          <w:szCs w:val="20"/>
        </w:rPr>
        <w:t xml:space="preserve"> ce qu’en dit la science réglementaire </w:t>
      </w:r>
    </w:p>
    <w:p w:rsidR="00530EA8" w:rsidRPr="00367C86" w:rsidRDefault="00E637E1" w:rsidP="00367C86">
      <w:pPr>
        <w:pStyle w:val="NormalWeb"/>
        <w:jc w:val="both"/>
        <w:rPr>
          <w:rFonts w:ascii="Arial" w:hAnsi="Arial" w:cs="Arial"/>
          <w:sz w:val="20"/>
          <w:szCs w:val="20"/>
        </w:rPr>
      </w:pPr>
      <w:r w:rsidRPr="00367C86">
        <w:rPr>
          <w:rFonts w:ascii="Arial" w:hAnsi="Arial" w:cs="Arial"/>
          <w:sz w:val="20"/>
          <w:szCs w:val="20"/>
        </w:rPr>
        <w:t>Plutôt que de parler de La science réglementaire, il serait plus juste de parler Des sciences réglementaires : celle qui au niveau internat</w:t>
      </w:r>
      <w:r w:rsidR="00D20BEA" w:rsidRPr="00367C86">
        <w:rPr>
          <w:rFonts w:ascii="Arial" w:hAnsi="Arial" w:cs="Arial"/>
          <w:sz w:val="20"/>
          <w:szCs w:val="20"/>
        </w:rPr>
        <w:t>ional édicte des valeurs de référence</w:t>
      </w:r>
      <w:r w:rsidRPr="00367C86">
        <w:rPr>
          <w:rFonts w:ascii="Arial" w:hAnsi="Arial" w:cs="Arial"/>
          <w:sz w:val="20"/>
          <w:szCs w:val="20"/>
        </w:rPr>
        <w:t>, et ce</w:t>
      </w:r>
      <w:r w:rsidR="00530EA8" w:rsidRPr="00367C86">
        <w:rPr>
          <w:rFonts w:ascii="Arial" w:hAnsi="Arial" w:cs="Arial"/>
          <w:sz w:val="20"/>
          <w:szCs w:val="20"/>
        </w:rPr>
        <w:t>lles qui en France gèrent à deux</w:t>
      </w:r>
      <w:r w:rsidRPr="00367C86">
        <w:rPr>
          <w:rFonts w:ascii="Arial" w:hAnsi="Arial" w:cs="Arial"/>
          <w:sz w:val="20"/>
          <w:szCs w:val="20"/>
        </w:rPr>
        <w:t xml:space="preserve"> le sujet de la téléphonie mobile : d’une part la science de l’ingénierie radioélectrique (l’ANFR</w:t>
      </w:r>
      <w:r w:rsidRPr="00367C86">
        <w:rPr>
          <w:rStyle w:val="Appelnotedebasdep"/>
          <w:rFonts w:ascii="Arial" w:hAnsi="Arial" w:cs="Arial"/>
          <w:sz w:val="20"/>
          <w:szCs w:val="20"/>
        </w:rPr>
        <w:footnoteReference w:id="65"/>
      </w:r>
      <w:r w:rsidRPr="00367C86">
        <w:rPr>
          <w:rFonts w:ascii="Arial" w:hAnsi="Arial" w:cs="Arial"/>
          <w:sz w:val="20"/>
          <w:szCs w:val="20"/>
        </w:rPr>
        <w:t>) et d’autre part le champ pluridisciplinaire de l’évaluation des risques sanitaires (l’ANSES).</w:t>
      </w:r>
      <w:r w:rsidR="00530EA8" w:rsidRPr="00367C86">
        <w:rPr>
          <w:rFonts w:ascii="Arial" w:hAnsi="Arial" w:cs="Arial"/>
          <w:sz w:val="20"/>
          <w:szCs w:val="20"/>
        </w:rPr>
        <w:t xml:space="preserve"> L’ANFR, agence ét</w:t>
      </w:r>
      <w:r w:rsidR="00D86AB5">
        <w:rPr>
          <w:rFonts w:ascii="Arial" w:hAnsi="Arial" w:cs="Arial"/>
          <w:sz w:val="20"/>
          <w:szCs w:val="20"/>
        </w:rPr>
        <w:t>atique, a pour mission la plani</w:t>
      </w:r>
      <w:r w:rsidR="00530EA8" w:rsidRPr="00367C86">
        <w:rPr>
          <w:rFonts w:ascii="Arial" w:hAnsi="Arial" w:cs="Arial"/>
          <w:sz w:val="20"/>
          <w:szCs w:val="20"/>
        </w:rPr>
        <w:t xml:space="preserve">fication, la gestion et le suivi de l’utilisation des fréquences  sur le territoire français.Ce n’est pas elle qui attribue les fréquences aux opérateurs (c’est l’ARCEP, autorité de régulation des communications électroniques et des postes, créée en janvier 1997, tout comme l’ANFR). Par contre, ainsi que nous l’avons évoqué plus haut, c’est l’ANFR qui permet aux particuliers de faire faire des mesures en leur domicile, qui veille au respect des seuils réglementaires d’exposition, et qui recense annuellement les points atypiques. Si elle évalue l’exposition, les questions sanitaires y afférant sont par contre du ressort de l’ANSES. </w:t>
      </w:r>
    </w:p>
    <w:p w:rsidR="00BE5344" w:rsidRPr="00367C86" w:rsidRDefault="00E637E1" w:rsidP="00367C86">
      <w:pPr>
        <w:pStyle w:val="NormalWeb"/>
        <w:jc w:val="both"/>
        <w:rPr>
          <w:rFonts w:ascii="Arial" w:hAnsi="Arial" w:cs="Arial"/>
          <w:sz w:val="20"/>
          <w:szCs w:val="20"/>
        </w:rPr>
      </w:pPr>
      <w:r w:rsidRPr="00367C86">
        <w:rPr>
          <w:rFonts w:ascii="Arial" w:hAnsi="Arial" w:cs="Arial"/>
          <w:sz w:val="20"/>
          <w:szCs w:val="20"/>
        </w:rPr>
        <w:t>Cette dernière</w:t>
      </w:r>
      <w:r w:rsidR="005725FF" w:rsidRPr="00367C86">
        <w:rPr>
          <w:rFonts w:ascii="Arial" w:hAnsi="Arial" w:cs="Arial"/>
          <w:sz w:val="20"/>
          <w:szCs w:val="20"/>
        </w:rPr>
        <w:t>, à la différence de</w:t>
      </w:r>
      <w:r w:rsidR="00A863DE" w:rsidRPr="00367C86">
        <w:rPr>
          <w:rFonts w:ascii="Arial" w:hAnsi="Arial" w:cs="Arial"/>
          <w:sz w:val="20"/>
          <w:szCs w:val="20"/>
        </w:rPr>
        <w:t xml:space="preserve"> la science académique, ne fait</w:t>
      </w:r>
      <w:r w:rsidR="005725FF" w:rsidRPr="00367C86">
        <w:rPr>
          <w:rFonts w:ascii="Arial" w:hAnsi="Arial" w:cs="Arial"/>
          <w:sz w:val="20"/>
          <w:szCs w:val="20"/>
        </w:rPr>
        <w:t xml:space="preserve"> pas d’é</w:t>
      </w:r>
      <w:r w:rsidRPr="00367C86">
        <w:rPr>
          <w:rFonts w:ascii="Arial" w:hAnsi="Arial" w:cs="Arial"/>
          <w:sz w:val="20"/>
          <w:szCs w:val="20"/>
        </w:rPr>
        <w:t>tudes en laboratoire :</w:t>
      </w:r>
      <w:r w:rsidR="005725FF" w:rsidRPr="00367C86">
        <w:rPr>
          <w:rFonts w:ascii="Arial" w:hAnsi="Arial" w:cs="Arial"/>
          <w:sz w:val="20"/>
          <w:szCs w:val="20"/>
        </w:rPr>
        <w:t xml:space="preserve"> elle mène </w:t>
      </w:r>
      <w:r w:rsidR="00A863DE" w:rsidRPr="00367C86">
        <w:rPr>
          <w:rFonts w:ascii="Arial" w:hAnsi="Arial" w:cs="Arial"/>
          <w:sz w:val="20"/>
          <w:szCs w:val="20"/>
        </w:rPr>
        <w:t>des</w:t>
      </w:r>
      <w:r w:rsidR="005725FF" w:rsidRPr="00367C86">
        <w:rPr>
          <w:rFonts w:ascii="Arial" w:hAnsi="Arial" w:cs="Arial"/>
          <w:sz w:val="20"/>
          <w:szCs w:val="20"/>
        </w:rPr>
        <w:t xml:space="preserve"> expertise</w:t>
      </w:r>
      <w:r w:rsidR="00A863DE" w:rsidRPr="00367C86">
        <w:rPr>
          <w:rFonts w:ascii="Arial" w:hAnsi="Arial" w:cs="Arial"/>
          <w:sz w:val="20"/>
          <w:szCs w:val="20"/>
        </w:rPr>
        <w:t>s régulières</w:t>
      </w:r>
      <w:r w:rsidR="005725FF" w:rsidRPr="00367C86">
        <w:rPr>
          <w:rFonts w:ascii="Arial" w:hAnsi="Arial" w:cs="Arial"/>
          <w:sz w:val="20"/>
          <w:szCs w:val="20"/>
        </w:rPr>
        <w:t xml:space="preserve"> sur la base des études pr</w:t>
      </w:r>
      <w:r w:rsidR="00A863DE" w:rsidRPr="00367C86">
        <w:rPr>
          <w:rFonts w:ascii="Arial" w:hAnsi="Arial" w:cs="Arial"/>
          <w:sz w:val="20"/>
          <w:szCs w:val="20"/>
        </w:rPr>
        <w:t xml:space="preserve">imaires et secondaires </w:t>
      </w:r>
      <w:r w:rsidR="00110B71" w:rsidRPr="00367C86">
        <w:rPr>
          <w:rFonts w:ascii="Arial" w:hAnsi="Arial" w:cs="Arial"/>
          <w:sz w:val="20"/>
          <w:szCs w:val="20"/>
        </w:rPr>
        <w:t>disponibles</w:t>
      </w:r>
      <w:r w:rsidRPr="00367C86">
        <w:rPr>
          <w:rFonts w:ascii="Arial" w:hAnsi="Arial" w:cs="Arial"/>
          <w:sz w:val="20"/>
          <w:szCs w:val="20"/>
        </w:rPr>
        <w:t xml:space="preserve">, sur </w:t>
      </w:r>
      <w:r w:rsidR="00115A50" w:rsidRPr="00367C86">
        <w:rPr>
          <w:rFonts w:ascii="Arial" w:hAnsi="Arial" w:cs="Arial"/>
          <w:sz w:val="20"/>
          <w:szCs w:val="20"/>
        </w:rPr>
        <w:t>s</w:t>
      </w:r>
      <w:r w:rsidR="00511C13" w:rsidRPr="00367C86">
        <w:rPr>
          <w:rFonts w:ascii="Arial" w:hAnsi="Arial" w:cs="Arial"/>
          <w:sz w:val="20"/>
          <w:szCs w:val="20"/>
        </w:rPr>
        <w:t>aisine de ministères requérant un écl</w:t>
      </w:r>
      <w:r w:rsidR="00110B71" w:rsidRPr="00367C86">
        <w:rPr>
          <w:rFonts w:ascii="Arial" w:hAnsi="Arial" w:cs="Arial"/>
          <w:sz w:val="20"/>
          <w:szCs w:val="20"/>
        </w:rPr>
        <w:t xml:space="preserve">airage </w:t>
      </w:r>
      <w:r w:rsidR="00511C13" w:rsidRPr="00367C86">
        <w:rPr>
          <w:rFonts w:ascii="Arial" w:hAnsi="Arial" w:cs="Arial"/>
          <w:sz w:val="20"/>
          <w:szCs w:val="20"/>
        </w:rPr>
        <w:t>ou sur auto</w:t>
      </w:r>
      <w:r w:rsidR="00115A50" w:rsidRPr="00367C86">
        <w:rPr>
          <w:rFonts w:ascii="Arial" w:hAnsi="Arial" w:cs="Arial"/>
          <w:sz w:val="20"/>
          <w:szCs w:val="20"/>
        </w:rPr>
        <w:t>saisine.</w:t>
      </w:r>
      <w:r w:rsidR="00511C13" w:rsidRPr="00367C86">
        <w:rPr>
          <w:rFonts w:ascii="Arial" w:hAnsi="Arial" w:cs="Arial"/>
          <w:sz w:val="20"/>
          <w:szCs w:val="20"/>
        </w:rPr>
        <w:t xml:space="preserve"> Etudes primaires et secondaires qui</w:t>
      </w:r>
      <w:r w:rsidR="005725FF" w:rsidRPr="00367C86">
        <w:rPr>
          <w:rFonts w:ascii="Arial" w:hAnsi="Arial" w:cs="Arial"/>
          <w:sz w:val="20"/>
          <w:szCs w:val="20"/>
        </w:rPr>
        <w:t xml:space="preserve">, nous l’avons vu au point précédent, ne permettent pas toujours de conclure. Pour autant, dans la mesure où ses conclusions </w:t>
      </w:r>
      <w:r w:rsidR="00511C13" w:rsidRPr="00367C86">
        <w:rPr>
          <w:rFonts w:ascii="Arial" w:hAnsi="Arial" w:cs="Arial"/>
          <w:sz w:val="20"/>
          <w:szCs w:val="20"/>
        </w:rPr>
        <w:t xml:space="preserve">servent </w:t>
      </w:r>
      <w:r w:rsidR="005725FF" w:rsidRPr="00367C86">
        <w:rPr>
          <w:rFonts w:ascii="Arial" w:hAnsi="Arial" w:cs="Arial"/>
          <w:sz w:val="20"/>
          <w:szCs w:val="20"/>
        </w:rPr>
        <w:t>aux décisions politiques qui vont assurer la protection de la population</w:t>
      </w:r>
      <w:r w:rsidR="00A863DE" w:rsidRPr="00367C86">
        <w:rPr>
          <w:rFonts w:ascii="Arial" w:hAnsi="Arial" w:cs="Arial"/>
          <w:sz w:val="20"/>
          <w:szCs w:val="20"/>
        </w:rPr>
        <w:t>, ne devrait-elle pas s’extraire d’un vide tautologique et replacer au centre de l’</w:t>
      </w:r>
      <w:r w:rsidR="00110B71" w:rsidRPr="00367C86">
        <w:rPr>
          <w:rFonts w:ascii="Arial" w:hAnsi="Arial" w:cs="Arial"/>
          <w:sz w:val="20"/>
          <w:szCs w:val="20"/>
        </w:rPr>
        <w:t xml:space="preserve">attention le principe, </w:t>
      </w:r>
      <w:r w:rsidR="00A863DE" w:rsidRPr="00367C86">
        <w:rPr>
          <w:rFonts w:ascii="Arial" w:hAnsi="Arial" w:cs="Arial"/>
          <w:sz w:val="20"/>
          <w:szCs w:val="20"/>
        </w:rPr>
        <w:t>constitutionnel</w:t>
      </w:r>
      <w:r w:rsidR="00511C13" w:rsidRPr="00367C86">
        <w:rPr>
          <w:rFonts w:ascii="Arial" w:hAnsi="Arial" w:cs="Arial"/>
          <w:sz w:val="20"/>
          <w:szCs w:val="20"/>
        </w:rPr>
        <w:t>,</w:t>
      </w:r>
      <w:r w:rsidR="00A863DE" w:rsidRPr="00367C86">
        <w:rPr>
          <w:rFonts w:ascii="Arial" w:hAnsi="Arial" w:cs="Arial"/>
          <w:sz w:val="20"/>
          <w:szCs w:val="20"/>
        </w:rPr>
        <w:t xml:space="preserve"> qu’</w:t>
      </w:r>
      <w:r w:rsidR="00511C13" w:rsidRPr="00367C86">
        <w:rPr>
          <w:rFonts w:ascii="Arial" w:hAnsi="Arial" w:cs="Arial"/>
          <w:sz w:val="20"/>
          <w:szCs w:val="20"/>
        </w:rPr>
        <w:t>est le</w:t>
      </w:r>
      <w:r w:rsidR="00A863DE" w:rsidRPr="00367C86">
        <w:rPr>
          <w:rFonts w:ascii="Arial" w:hAnsi="Arial" w:cs="Arial"/>
          <w:sz w:val="20"/>
          <w:szCs w:val="20"/>
        </w:rPr>
        <w:t xml:space="preserve"> principe de précaution</w:t>
      </w:r>
      <w:r w:rsidR="00511C13" w:rsidRPr="00367C86">
        <w:rPr>
          <w:rFonts w:ascii="Arial" w:hAnsi="Arial" w:cs="Arial"/>
          <w:sz w:val="20"/>
          <w:szCs w:val="20"/>
        </w:rPr>
        <w:t> ?</w:t>
      </w:r>
      <w:r w:rsidR="00840674" w:rsidRPr="00367C86">
        <w:rPr>
          <w:rFonts w:ascii="Arial" w:hAnsi="Arial" w:cs="Arial"/>
          <w:sz w:val="20"/>
          <w:szCs w:val="20"/>
        </w:rPr>
        <w:t xml:space="preserve"> c’est l’attitude qui a été adoptée pour le BPA, mais pas pour les radiofréquences</w:t>
      </w:r>
      <w:r w:rsidR="00840674" w:rsidRPr="00367C86">
        <w:rPr>
          <w:rStyle w:val="Appelnotedebasdep"/>
          <w:rFonts w:ascii="Arial" w:hAnsi="Arial" w:cs="Arial"/>
          <w:sz w:val="20"/>
          <w:szCs w:val="20"/>
        </w:rPr>
        <w:footnoteReference w:id="66"/>
      </w:r>
      <w:r w:rsidR="00840674" w:rsidRPr="00367C86">
        <w:rPr>
          <w:rFonts w:ascii="Arial" w:hAnsi="Arial" w:cs="Arial"/>
          <w:sz w:val="20"/>
          <w:szCs w:val="20"/>
        </w:rPr>
        <w:t>.</w:t>
      </w:r>
    </w:p>
    <w:p w:rsidR="00816386" w:rsidRPr="00367C86" w:rsidRDefault="00816386" w:rsidP="00367C86">
      <w:pPr>
        <w:ind w:left="0" w:firstLine="0"/>
        <w:rPr>
          <w:rFonts w:ascii="Arial" w:hAnsi="Arial" w:cs="Arial"/>
          <w:sz w:val="20"/>
          <w:szCs w:val="20"/>
          <w:shd w:val="clear" w:color="auto" w:fill="FFFFFF"/>
        </w:rPr>
      </w:pPr>
      <w:r w:rsidRPr="00367C86">
        <w:rPr>
          <w:rFonts w:ascii="Arial" w:hAnsi="Arial" w:cs="Arial"/>
          <w:sz w:val="20"/>
          <w:szCs w:val="20"/>
          <w:shd w:val="clear" w:color="auto" w:fill="FFFFFF"/>
        </w:rPr>
        <w:t>Tout comme la science académique se penche de plus en plus sur la question des effets biologiques de l’exposition liée au déploiement des technologies sans fil, l’ANSES a produit plusieurs rapports sur le sujet, ainsi que l’</w:t>
      </w:r>
      <w:r w:rsidR="00825D95" w:rsidRPr="00367C86">
        <w:rPr>
          <w:rFonts w:ascii="Arial" w:hAnsi="Arial" w:cs="Arial"/>
          <w:sz w:val="20"/>
          <w:szCs w:val="20"/>
          <w:shd w:val="clear" w:color="auto" w:fill="FFFFFF"/>
        </w:rPr>
        <w:t xml:space="preserve">avait </w:t>
      </w:r>
      <w:r w:rsidRPr="00367C86">
        <w:rPr>
          <w:rFonts w:ascii="Arial" w:hAnsi="Arial" w:cs="Arial"/>
          <w:sz w:val="20"/>
          <w:szCs w:val="20"/>
          <w:shd w:val="clear" w:color="auto" w:fill="FFFFFF"/>
        </w:rPr>
        <w:t>fait avant</w:t>
      </w:r>
      <w:r w:rsidR="00110B71" w:rsidRPr="00367C86">
        <w:rPr>
          <w:rFonts w:ascii="Arial" w:hAnsi="Arial" w:cs="Arial"/>
          <w:sz w:val="20"/>
          <w:szCs w:val="20"/>
          <w:shd w:val="clear" w:color="auto" w:fill="FFFFFF"/>
        </w:rPr>
        <w:t xml:space="preserve"> </w:t>
      </w:r>
      <w:r w:rsidR="00FC7BFC" w:rsidRPr="00367C86">
        <w:rPr>
          <w:rFonts w:ascii="Arial" w:hAnsi="Arial" w:cs="Arial"/>
          <w:sz w:val="20"/>
          <w:szCs w:val="20"/>
          <w:shd w:val="clear" w:color="auto" w:fill="FFFFFF"/>
        </w:rPr>
        <w:t>elle</w:t>
      </w:r>
      <w:r w:rsidRPr="00367C86">
        <w:rPr>
          <w:rFonts w:ascii="Arial" w:hAnsi="Arial" w:cs="Arial"/>
          <w:sz w:val="20"/>
          <w:szCs w:val="20"/>
          <w:shd w:val="clear" w:color="auto" w:fill="FFFFFF"/>
        </w:rPr>
        <w:t xml:space="preserve"> l’AFSSET</w:t>
      </w:r>
      <w:r w:rsidRPr="00367C86">
        <w:rPr>
          <w:rStyle w:val="Appelnotedebasdep"/>
          <w:rFonts w:ascii="Arial" w:hAnsi="Arial" w:cs="Arial"/>
          <w:sz w:val="20"/>
          <w:szCs w:val="20"/>
          <w:shd w:val="clear" w:color="auto" w:fill="FFFFFF"/>
        </w:rPr>
        <w:footnoteReference w:id="67"/>
      </w:r>
      <w:r w:rsidRPr="00367C86">
        <w:rPr>
          <w:rFonts w:ascii="Arial" w:hAnsi="Arial" w:cs="Arial"/>
          <w:sz w:val="20"/>
          <w:szCs w:val="20"/>
          <w:shd w:val="clear" w:color="auto" w:fill="FFFFFF"/>
        </w:rPr>
        <w:t> :</w:t>
      </w:r>
    </w:p>
    <w:p w:rsidR="00FC7BFC" w:rsidRPr="00367C86" w:rsidRDefault="00FC7BFC" w:rsidP="00367C86">
      <w:pPr>
        <w:ind w:left="0" w:firstLine="0"/>
        <w:rPr>
          <w:rFonts w:ascii="Arial" w:hAnsi="Arial" w:cs="Arial"/>
          <w:sz w:val="20"/>
          <w:szCs w:val="20"/>
          <w:shd w:val="clear" w:color="auto" w:fill="FFFFFF"/>
        </w:rPr>
      </w:pPr>
    </w:p>
    <w:p w:rsidR="00825D95" w:rsidRPr="00367C86" w:rsidRDefault="008800F5" w:rsidP="00367C86">
      <w:pPr>
        <w:rPr>
          <w:rFonts w:ascii="Arial" w:hAnsi="Arial" w:cs="Arial"/>
          <w:sz w:val="20"/>
          <w:szCs w:val="20"/>
          <w:shd w:val="clear" w:color="auto" w:fill="FFFFFF"/>
        </w:rPr>
      </w:pPr>
      <w:r w:rsidRPr="00367C86">
        <w:rPr>
          <w:rFonts w:ascii="Arial" w:hAnsi="Arial" w:cs="Arial"/>
          <w:sz w:val="20"/>
          <w:szCs w:val="20"/>
          <w:shd w:val="clear" w:color="auto" w:fill="FFFFFF"/>
        </w:rPr>
        <w:t xml:space="preserve">2003 : </w:t>
      </w:r>
      <w:r w:rsidRPr="00367C86">
        <w:rPr>
          <w:rFonts w:ascii="Arial" w:hAnsi="Arial" w:cs="Arial"/>
          <w:sz w:val="20"/>
          <w:szCs w:val="20"/>
          <w:shd w:val="clear" w:color="auto" w:fill="FFFFFF"/>
        </w:rPr>
        <w:tab/>
        <w:t xml:space="preserve">Rapport AFSSET </w:t>
      </w:r>
      <w:r w:rsidRPr="00367C86">
        <w:rPr>
          <w:rFonts w:ascii="Arial" w:hAnsi="Arial" w:cs="Arial"/>
          <w:i/>
          <w:sz w:val="20"/>
          <w:szCs w:val="20"/>
          <w:shd w:val="clear" w:color="auto" w:fill="FFFFFF"/>
        </w:rPr>
        <w:t>Téléphonie mobile et santé </w:t>
      </w:r>
      <w:r w:rsidR="00680484" w:rsidRPr="00367C86">
        <w:rPr>
          <w:rFonts w:ascii="Arial" w:hAnsi="Arial" w:cs="Arial"/>
          <w:sz w:val="20"/>
          <w:szCs w:val="20"/>
          <w:shd w:val="clear" w:color="auto" w:fill="FFFFFF"/>
        </w:rPr>
        <w:t>, l’hypothèse d’un risque sanitaire ne peut être totalement exlue, poursuivre la recherche et réduire l’exposition de la popualtion</w:t>
      </w:r>
    </w:p>
    <w:p w:rsidR="00400987" w:rsidRPr="00367C86" w:rsidRDefault="00400987" w:rsidP="00367C86">
      <w:pPr>
        <w:rPr>
          <w:rFonts w:ascii="Arial" w:hAnsi="Arial" w:cs="Arial"/>
          <w:sz w:val="20"/>
          <w:szCs w:val="20"/>
          <w:shd w:val="clear" w:color="auto" w:fill="FFFFFF"/>
        </w:rPr>
      </w:pPr>
      <w:r w:rsidRPr="00367C86">
        <w:rPr>
          <w:rFonts w:ascii="Arial" w:hAnsi="Arial" w:cs="Arial"/>
          <w:sz w:val="20"/>
          <w:szCs w:val="20"/>
          <w:shd w:val="clear" w:color="auto" w:fill="FFFFFF"/>
        </w:rPr>
        <w:t xml:space="preserve">2005 : </w:t>
      </w:r>
      <w:r w:rsidRPr="00367C86">
        <w:rPr>
          <w:rFonts w:ascii="Arial" w:hAnsi="Arial" w:cs="Arial"/>
          <w:sz w:val="20"/>
          <w:szCs w:val="20"/>
          <w:shd w:val="clear" w:color="auto" w:fill="FFFFFF"/>
        </w:rPr>
        <w:tab/>
        <w:t>Création de la Fondation Santé et radiofréquences (financée à 50-50 par l’Etat et les opérateurs)</w:t>
      </w:r>
    </w:p>
    <w:p w:rsidR="00FC7BFC" w:rsidRPr="00367C86" w:rsidRDefault="007E049B" w:rsidP="00367C86">
      <w:pPr>
        <w:rPr>
          <w:rFonts w:ascii="Arial" w:hAnsi="Arial" w:cs="Arial"/>
          <w:b/>
          <w:sz w:val="20"/>
          <w:szCs w:val="20"/>
        </w:rPr>
      </w:pPr>
      <w:r w:rsidRPr="00367C86">
        <w:rPr>
          <w:rFonts w:ascii="Arial" w:hAnsi="Arial" w:cs="Arial"/>
          <w:sz w:val="20"/>
          <w:szCs w:val="20"/>
          <w:shd w:val="clear" w:color="auto" w:fill="FFFFFF"/>
        </w:rPr>
        <w:t xml:space="preserve">2009 : </w:t>
      </w:r>
      <w:r w:rsidR="00680484" w:rsidRPr="00367C86">
        <w:rPr>
          <w:rFonts w:ascii="Arial" w:hAnsi="Arial" w:cs="Arial"/>
          <w:sz w:val="20"/>
          <w:szCs w:val="20"/>
          <w:shd w:val="clear" w:color="auto" w:fill="FFFFFF"/>
        </w:rPr>
        <w:tab/>
      </w:r>
      <w:r w:rsidRPr="00367C86">
        <w:rPr>
          <w:rFonts w:ascii="Arial" w:hAnsi="Arial" w:cs="Arial"/>
          <w:i/>
          <w:sz w:val="20"/>
          <w:szCs w:val="20"/>
          <w:shd w:val="clear" w:color="auto" w:fill="FFFFFF"/>
        </w:rPr>
        <w:t>Mise à jour de l’experti</w:t>
      </w:r>
      <w:r w:rsidR="00825D95" w:rsidRPr="00367C86">
        <w:rPr>
          <w:rFonts w:ascii="Arial" w:hAnsi="Arial" w:cs="Arial"/>
          <w:i/>
          <w:sz w:val="20"/>
          <w:szCs w:val="20"/>
          <w:shd w:val="clear" w:color="auto" w:fill="FFFFFF"/>
        </w:rPr>
        <w:t>s</w:t>
      </w:r>
      <w:r w:rsidR="00680484" w:rsidRPr="00367C86">
        <w:rPr>
          <w:rFonts w:ascii="Arial" w:hAnsi="Arial" w:cs="Arial"/>
          <w:i/>
          <w:sz w:val="20"/>
          <w:szCs w:val="20"/>
          <w:shd w:val="clear" w:color="auto" w:fill="FFFFFF"/>
        </w:rPr>
        <w:t>e relative aux radiofréquences</w:t>
      </w:r>
      <w:r w:rsidR="00680484" w:rsidRPr="00367C86">
        <w:rPr>
          <w:rFonts w:ascii="Arial" w:hAnsi="Arial" w:cs="Arial"/>
          <w:sz w:val="20"/>
          <w:szCs w:val="20"/>
          <w:shd w:val="clear" w:color="auto" w:fill="FFFFFF"/>
        </w:rPr>
        <w:t>, su</w:t>
      </w:r>
      <w:r w:rsidR="008800F5" w:rsidRPr="00367C86">
        <w:rPr>
          <w:rFonts w:ascii="Arial" w:hAnsi="Arial" w:cs="Arial"/>
          <w:sz w:val="20"/>
          <w:szCs w:val="20"/>
          <w:shd w:val="clear" w:color="auto" w:fill="FFFFFF"/>
        </w:rPr>
        <w:t>r saisine des ministères de la Santé et de l’E</w:t>
      </w:r>
      <w:r w:rsidR="00680484" w:rsidRPr="00367C86">
        <w:rPr>
          <w:rFonts w:ascii="Arial" w:hAnsi="Arial" w:cs="Arial"/>
          <w:sz w:val="20"/>
          <w:szCs w:val="20"/>
          <w:shd w:val="clear" w:color="auto" w:fill="FFFFFF"/>
        </w:rPr>
        <w:t>nvironnement</w:t>
      </w:r>
      <w:r w:rsidR="00536701" w:rsidRPr="00367C86">
        <w:rPr>
          <w:rStyle w:val="Appelnotedebasdep"/>
          <w:rFonts w:ascii="Arial" w:hAnsi="Arial" w:cs="Arial"/>
          <w:sz w:val="20"/>
          <w:szCs w:val="20"/>
          <w:shd w:val="clear" w:color="auto" w:fill="FFFFFF"/>
        </w:rPr>
        <w:footnoteReference w:id="68"/>
      </w:r>
      <w:r w:rsidR="00680484" w:rsidRPr="00367C86">
        <w:rPr>
          <w:rFonts w:ascii="Arial" w:hAnsi="Arial" w:cs="Arial"/>
          <w:sz w:val="20"/>
          <w:szCs w:val="20"/>
          <w:shd w:val="clear" w:color="auto" w:fill="FFFFFF"/>
        </w:rPr>
        <w:t>.</w:t>
      </w:r>
      <w:r w:rsidR="00825D95" w:rsidRPr="00367C86">
        <w:rPr>
          <w:rFonts w:ascii="Arial" w:hAnsi="Arial" w:cs="Arial"/>
          <w:sz w:val="20"/>
          <w:szCs w:val="20"/>
          <w:shd w:val="clear" w:color="auto" w:fill="FFFFFF"/>
        </w:rPr>
        <w:t xml:space="preserve"> </w:t>
      </w:r>
      <w:r w:rsidR="00536701" w:rsidRPr="00367C86">
        <w:rPr>
          <w:rFonts w:ascii="Arial" w:hAnsi="Arial" w:cs="Arial"/>
          <w:sz w:val="20"/>
          <w:szCs w:val="20"/>
          <w:shd w:val="clear" w:color="auto" w:fill="FFFFFF"/>
        </w:rPr>
        <w:t xml:space="preserve">L’AFSSET y souligne « la délicate question de la prise de décision en situation d’incertitude » et consacre une partie de son rapport au principe de précaution dont il rappelle la </w:t>
      </w:r>
      <w:r w:rsidR="00536701" w:rsidRPr="00367C86">
        <w:rPr>
          <w:rFonts w:ascii="Arial" w:hAnsi="Arial" w:cs="Arial"/>
          <w:sz w:val="20"/>
          <w:szCs w:val="20"/>
          <w:shd w:val="clear" w:color="auto" w:fill="FFFFFF"/>
        </w:rPr>
        <w:lastRenderedPageBreak/>
        <w:t>définition</w:t>
      </w:r>
      <w:r w:rsidR="00536701" w:rsidRPr="00367C86">
        <w:rPr>
          <w:rStyle w:val="Appelnotedebasdep"/>
          <w:rFonts w:ascii="Arial" w:hAnsi="Arial" w:cs="Arial"/>
          <w:sz w:val="20"/>
          <w:szCs w:val="20"/>
          <w:shd w:val="clear" w:color="auto" w:fill="FFFFFF"/>
        </w:rPr>
        <w:footnoteReference w:id="69"/>
      </w:r>
      <w:r w:rsidR="00536701" w:rsidRPr="00367C86">
        <w:rPr>
          <w:rFonts w:ascii="Arial" w:hAnsi="Arial" w:cs="Arial"/>
          <w:sz w:val="20"/>
          <w:szCs w:val="20"/>
          <w:shd w:val="clear" w:color="auto" w:fill="FFFFFF"/>
        </w:rPr>
        <w:t>. Le terme « précaution » apparait 100 fois dans ce rapport. L’</w:t>
      </w:r>
      <w:r w:rsidR="00FC7BFC" w:rsidRPr="00367C86">
        <w:rPr>
          <w:rFonts w:ascii="Arial" w:hAnsi="Arial" w:cs="Arial"/>
          <w:sz w:val="20"/>
          <w:szCs w:val="20"/>
          <w:shd w:val="clear" w:color="auto" w:fill="FFFFFF"/>
        </w:rPr>
        <w:t>AFSSET prend clairement position pour ce principe en indiquant que : « </w:t>
      </w:r>
      <w:r w:rsidR="00FC7BFC" w:rsidRPr="00367C86">
        <w:rPr>
          <w:rFonts w:ascii="Arial" w:hAnsi="Arial" w:cs="Arial"/>
          <w:i/>
          <w:sz w:val="20"/>
          <w:szCs w:val="20"/>
        </w:rPr>
        <w:t xml:space="preserve">Ensuite, et même s’il paraît trivial de le rappeler, </w:t>
      </w:r>
      <w:r w:rsidR="00FC7BFC" w:rsidRPr="00367C86">
        <w:rPr>
          <w:rFonts w:ascii="Arial" w:hAnsi="Arial" w:cs="Arial"/>
          <w:b/>
          <w:i/>
          <w:sz w:val="20"/>
          <w:szCs w:val="20"/>
        </w:rPr>
        <w:t xml:space="preserve">le principe de précaution est destiné à prendre en charge des situations où le risque, compte tenu des connaissances du moment, </w:t>
      </w:r>
      <w:r w:rsidR="00FC7BFC" w:rsidRPr="00367C86">
        <w:rPr>
          <w:rFonts w:ascii="Arial" w:hAnsi="Arial" w:cs="Arial"/>
          <w:b/>
          <w:i/>
          <w:sz w:val="20"/>
          <w:szCs w:val="20"/>
          <w:u w:val="single"/>
        </w:rPr>
        <w:t>n’est pas avéré</w:t>
      </w:r>
      <w:r w:rsidR="00FC7BFC" w:rsidRPr="00367C86">
        <w:rPr>
          <w:rFonts w:ascii="Arial" w:hAnsi="Arial" w:cs="Arial"/>
          <w:b/>
          <w:i/>
          <w:sz w:val="20"/>
          <w:szCs w:val="20"/>
        </w:rPr>
        <w:t>, mais seulement suspecté. Rien n’est donc plus éloigné de la démarche de précaution que le fait d’attendre d’obtenir des certitudes scientifiques au sujet d’une menace pour adopter des mesures visant à s’en prémunir ».</w:t>
      </w:r>
      <w:r w:rsidR="00FC7BFC" w:rsidRPr="00367C86">
        <w:rPr>
          <w:rFonts w:ascii="Arial" w:hAnsi="Arial" w:cs="Arial"/>
          <w:b/>
          <w:sz w:val="20"/>
          <w:szCs w:val="20"/>
        </w:rPr>
        <w:t xml:space="preserve"> </w:t>
      </w:r>
    </w:p>
    <w:p w:rsidR="00816386" w:rsidRPr="00367C86" w:rsidRDefault="00825D95" w:rsidP="00367C86">
      <w:pPr>
        <w:ind w:hanging="1"/>
        <w:rPr>
          <w:rFonts w:ascii="Arial" w:hAnsi="Arial" w:cs="Arial"/>
          <w:sz w:val="20"/>
          <w:szCs w:val="20"/>
          <w:shd w:val="clear" w:color="auto" w:fill="FFFFFF"/>
        </w:rPr>
      </w:pPr>
      <w:r w:rsidRPr="00367C86">
        <w:rPr>
          <w:rFonts w:ascii="Arial" w:hAnsi="Arial" w:cs="Arial"/>
          <w:sz w:val="20"/>
          <w:szCs w:val="20"/>
          <w:shd w:val="clear" w:color="auto" w:fill="FFFFFF"/>
        </w:rPr>
        <w:t>L</w:t>
      </w:r>
      <w:r w:rsidR="00B4434E" w:rsidRPr="00367C86">
        <w:rPr>
          <w:rFonts w:ascii="Arial" w:hAnsi="Arial" w:cs="Arial"/>
          <w:sz w:val="20"/>
          <w:szCs w:val="20"/>
          <w:shd w:val="clear" w:color="auto" w:fill="FFFFFF"/>
        </w:rPr>
        <w:t>’</w:t>
      </w:r>
      <w:r w:rsidRPr="00367C86">
        <w:rPr>
          <w:rFonts w:ascii="Arial" w:hAnsi="Arial" w:cs="Arial"/>
          <w:sz w:val="20"/>
          <w:szCs w:val="20"/>
          <w:shd w:val="clear" w:color="auto" w:fill="FFFFFF"/>
        </w:rPr>
        <w:t>AFSSET reconnait l’existence d’</w:t>
      </w:r>
      <w:r w:rsidR="007E049B" w:rsidRPr="00367C86">
        <w:rPr>
          <w:rFonts w:ascii="Arial" w:hAnsi="Arial" w:cs="Arial"/>
          <w:sz w:val="20"/>
          <w:szCs w:val="20"/>
          <w:shd w:val="clear" w:color="auto" w:fill="FFFFFF"/>
        </w:rPr>
        <w:t>effet</w:t>
      </w:r>
      <w:r w:rsidR="00B4434E" w:rsidRPr="00367C86">
        <w:rPr>
          <w:rFonts w:ascii="Arial" w:hAnsi="Arial" w:cs="Arial"/>
          <w:sz w:val="20"/>
          <w:szCs w:val="20"/>
          <w:shd w:val="clear" w:color="auto" w:fill="FFFFFF"/>
        </w:rPr>
        <w:t>s sur les fonctions cellulaires</w:t>
      </w:r>
      <w:r w:rsidRPr="00367C86">
        <w:rPr>
          <w:rFonts w:ascii="Arial" w:hAnsi="Arial" w:cs="Arial"/>
          <w:sz w:val="20"/>
          <w:szCs w:val="20"/>
          <w:shd w:val="clear" w:color="auto" w:fill="FFFFFF"/>
        </w:rPr>
        <w:t>, recommande de développer la recherche (notamment d’affiner la caractérisation des expositions des populations, à commencer par celle des enfants) et de</w:t>
      </w:r>
      <w:r w:rsidR="00E23933" w:rsidRPr="00367C86">
        <w:rPr>
          <w:rFonts w:ascii="Arial" w:hAnsi="Arial" w:cs="Arial"/>
          <w:sz w:val="20"/>
          <w:szCs w:val="20"/>
          <w:shd w:val="clear" w:color="auto" w:fill="FFFFFF"/>
        </w:rPr>
        <w:t xml:space="preserve"> réduire l’exposition du public. Une meilleure prise en charge de l’hypersensisbilité électromagnétique est également recommandée.</w:t>
      </w:r>
      <w:r w:rsidRPr="00367C86">
        <w:rPr>
          <w:rFonts w:ascii="Arial" w:hAnsi="Arial" w:cs="Arial"/>
          <w:sz w:val="20"/>
          <w:szCs w:val="20"/>
          <w:shd w:val="clear" w:color="auto" w:fill="FFFFFF"/>
        </w:rPr>
        <w:t xml:space="preserve"> </w:t>
      </w:r>
    </w:p>
    <w:p w:rsidR="00B4434E" w:rsidRPr="00367C86" w:rsidRDefault="00E23933" w:rsidP="00367C86">
      <w:pPr>
        <w:rPr>
          <w:rFonts w:ascii="Arial" w:hAnsi="Arial" w:cs="Arial"/>
          <w:sz w:val="20"/>
          <w:szCs w:val="20"/>
          <w:shd w:val="clear" w:color="auto" w:fill="FFFFFF"/>
        </w:rPr>
      </w:pPr>
      <w:r w:rsidRPr="00367C86">
        <w:rPr>
          <w:rFonts w:ascii="Arial" w:hAnsi="Arial" w:cs="Arial"/>
          <w:sz w:val="20"/>
          <w:szCs w:val="20"/>
          <w:shd w:val="clear" w:color="auto" w:fill="FFFFFF"/>
        </w:rPr>
        <w:tab/>
        <w:t>A ce rapport</w:t>
      </w:r>
      <w:r w:rsidR="00B4434E" w:rsidRPr="00367C86">
        <w:rPr>
          <w:rFonts w:ascii="Arial" w:hAnsi="Arial" w:cs="Arial"/>
          <w:sz w:val="20"/>
          <w:szCs w:val="20"/>
          <w:shd w:val="clear" w:color="auto" w:fill="FFFFFF"/>
        </w:rPr>
        <w:t>, vive réaction du professeur A</w:t>
      </w:r>
      <w:r w:rsidRPr="00367C86">
        <w:rPr>
          <w:rFonts w:ascii="Arial" w:hAnsi="Arial" w:cs="Arial"/>
          <w:sz w:val="20"/>
          <w:szCs w:val="20"/>
          <w:shd w:val="clear" w:color="auto" w:fill="FFFFFF"/>
        </w:rPr>
        <w:t xml:space="preserve">ndré Aurengo qui émet un </w:t>
      </w:r>
      <w:r w:rsidR="00B4434E" w:rsidRPr="00367C86">
        <w:rPr>
          <w:rFonts w:ascii="Arial" w:hAnsi="Arial" w:cs="Arial"/>
          <w:sz w:val="20"/>
          <w:szCs w:val="20"/>
          <w:shd w:val="clear" w:color="auto" w:fill="FFFFFF"/>
        </w:rPr>
        <w:t>communiqué</w:t>
      </w:r>
      <w:r w:rsidR="00B4434E" w:rsidRPr="00367C86">
        <w:rPr>
          <w:rStyle w:val="Appelnotedebasdep"/>
          <w:rFonts w:ascii="Arial" w:hAnsi="Arial" w:cs="Arial"/>
          <w:sz w:val="20"/>
          <w:szCs w:val="20"/>
          <w:shd w:val="clear" w:color="auto" w:fill="FFFFFF"/>
        </w:rPr>
        <w:footnoteReference w:id="70"/>
      </w:r>
      <w:r w:rsidR="00B4434E" w:rsidRPr="00367C86">
        <w:rPr>
          <w:rFonts w:ascii="Arial" w:hAnsi="Arial" w:cs="Arial"/>
          <w:sz w:val="20"/>
          <w:szCs w:val="20"/>
          <w:shd w:val="clear" w:color="auto" w:fill="FFFFFF"/>
        </w:rPr>
        <w:t xml:space="preserve"> au nom de l’Académie nationale de médecine, de l’Académie des sciences et de l’Académie des technologies </w:t>
      </w:r>
    </w:p>
    <w:p w:rsidR="00FC7BFC" w:rsidRPr="00367C86" w:rsidRDefault="00FC7BFC" w:rsidP="00367C86">
      <w:pPr>
        <w:rPr>
          <w:rFonts w:ascii="Arial" w:hAnsi="Arial" w:cs="Arial"/>
          <w:sz w:val="20"/>
          <w:szCs w:val="20"/>
          <w:shd w:val="clear" w:color="auto" w:fill="FFFFFF"/>
        </w:rPr>
      </w:pPr>
      <w:r w:rsidRPr="00367C86">
        <w:rPr>
          <w:rFonts w:ascii="Arial" w:hAnsi="Arial" w:cs="Arial"/>
          <w:sz w:val="20"/>
          <w:szCs w:val="20"/>
          <w:shd w:val="clear" w:color="auto" w:fill="FFFFFF"/>
        </w:rPr>
        <w:t xml:space="preserve">2010 : </w:t>
      </w:r>
      <w:r w:rsidR="00400987" w:rsidRPr="00367C86">
        <w:rPr>
          <w:rFonts w:ascii="Arial" w:hAnsi="Arial" w:cs="Arial"/>
          <w:sz w:val="20"/>
          <w:szCs w:val="20"/>
          <w:shd w:val="clear" w:color="auto" w:fill="FFFFFF"/>
        </w:rPr>
        <w:tab/>
      </w:r>
      <w:r w:rsidRPr="00367C86">
        <w:rPr>
          <w:rFonts w:ascii="Arial" w:hAnsi="Arial" w:cs="Arial"/>
          <w:sz w:val="20"/>
          <w:szCs w:val="20"/>
          <w:shd w:val="clear" w:color="auto" w:fill="FFFFFF"/>
        </w:rPr>
        <w:t>l’</w:t>
      </w:r>
      <w:r w:rsidR="00E23933" w:rsidRPr="00367C86">
        <w:rPr>
          <w:rFonts w:ascii="Arial" w:hAnsi="Arial" w:cs="Arial"/>
          <w:sz w:val="20"/>
          <w:szCs w:val="20"/>
          <w:shd w:val="clear" w:color="auto" w:fill="FFFFFF"/>
        </w:rPr>
        <w:t xml:space="preserve">AFSSET </w:t>
      </w:r>
      <w:r w:rsidR="001426D5" w:rsidRPr="00367C86">
        <w:rPr>
          <w:rFonts w:ascii="Arial" w:hAnsi="Arial" w:cs="Arial"/>
          <w:sz w:val="20"/>
          <w:szCs w:val="20"/>
          <w:shd w:val="clear" w:color="auto" w:fill="FFFFFF"/>
        </w:rPr>
        <w:t xml:space="preserve">et </w:t>
      </w:r>
      <w:r w:rsidR="00D20BEA" w:rsidRPr="00367C86">
        <w:rPr>
          <w:rFonts w:ascii="Arial" w:hAnsi="Arial" w:cs="Arial"/>
          <w:sz w:val="20"/>
          <w:szCs w:val="20"/>
          <w:shd w:val="clear" w:color="auto" w:fill="FFFFFF"/>
        </w:rPr>
        <w:t>l’AFSSA</w:t>
      </w:r>
      <w:r w:rsidR="00D20BEA" w:rsidRPr="00367C86">
        <w:rPr>
          <w:rStyle w:val="Appelnotedebasdep"/>
          <w:rFonts w:ascii="Arial" w:hAnsi="Arial" w:cs="Arial"/>
          <w:sz w:val="20"/>
          <w:szCs w:val="20"/>
          <w:shd w:val="clear" w:color="auto" w:fill="FFFFFF"/>
        </w:rPr>
        <w:footnoteReference w:id="71"/>
      </w:r>
      <w:r w:rsidR="001426D5" w:rsidRPr="00367C86">
        <w:rPr>
          <w:rFonts w:ascii="Arial" w:hAnsi="Arial" w:cs="Arial"/>
          <w:sz w:val="20"/>
          <w:szCs w:val="20"/>
          <w:shd w:val="clear" w:color="auto" w:fill="FFFFFF"/>
        </w:rPr>
        <w:t xml:space="preserve"> sont fusionnées en une seule entité : </w:t>
      </w:r>
      <w:r w:rsidRPr="00367C86">
        <w:rPr>
          <w:rFonts w:ascii="Arial" w:hAnsi="Arial" w:cs="Arial"/>
          <w:sz w:val="20"/>
          <w:szCs w:val="20"/>
          <w:shd w:val="clear" w:color="auto" w:fill="FFFFFF"/>
        </w:rPr>
        <w:t>l’ANSES</w:t>
      </w:r>
    </w:p>
    <w:p w:rsidR="000B6D16" w:rsidRPr="00367C86" w:rsidRDefault="000B6D16" w:rsidP="00367C86">
      <w:pPr>
        <w:rPr>
          <w:rFonts w:ascii="Arial" w:hAnsi="Arial" w:cs="Arial"/>
          <w:sz w:val="20"/>
          <w:szCs w:val="20"/>
          <w:shd w:val="clear" w:color="auto" w:fill="FFFFFF"/>
        </w:rPr>
      </w:pPr>
      <w:r w:rsidRPr="00367C86">
        <w:rPr>
          <w:rFonts w:ascii="Arial" w:hAnsi="Arial" w:cs="Arial"/>
          <w:sz w:val="20"/>
          <w:szCs w:val="20"/>
          <w:shd w:val="clear" w:color="auto" w:fill="FFFFFF"/>
        </w:rPr>
        <w:t xml:space="preserve">2010 : </w:t>
      </w:r>
      <w:r w:rsidRPr="00367C86">
        <w:rPr>
          <w:rFonts w:ascii="Arial" w:hAnsi="Arial" w:cs="Arial"/>
          <w:sz w:val="20"/>
          <w:szCs w:val="20"/>
          <w:shd w:val="clear" w:color="auto" w:fill="FFFFFF"/>
        </w:rPr>
        <w:tab/>
        <w:t>Dissolution de la Fondation Santé et radiofréquences (officialisée par un décret de 2012)</w:t>
      </w:r>
    </w:p>
    <w:p w:rsidR="000B6D16" w:rsidRPr="00367C86" w:rsidRDefault="000B6D16" w:rsidP="00367C86">
      <w:pPr>
        <w:rPr>
          <w:rFonts w:ascii="Arial" w:hAnsi="Arial" w:cs="Arial"/>
          <w:sz w:val="20"/>
          <w:szCs w:val="20"/>
          <w:shd w:val="clear" w:color="auto" w:fill="FFFFFF"/>
        </w:rPr>
      </w:pPr>
      <w:r w:rsidRPr="00367C86">
        <w:rPr>
          <w:rFonts w:ascii="Arial" w:hAnsi="Arial" w:cs="Arial"/>
          <w:sz w:val="20"/>
          <w:szCs w:val="20"/>
          <w:shd w:val="clear" w:color="auto" w:fill="FFFFFF"/>
        </w:rPr>
        <w:t>2011 :</w:t>
      </w:r>
      <w:r w:rsidR="00943259" w:rsidRPr="00367C86">
        <w:rPr>
          <w:rFonts w:ascii="Arial" w:hAnsi="Arial" w:cs="Arial"/>
          <w:sz w:val="20"/>
          <w:szCs w:val="20"/>
          <w:shd w:val="clear" w:color="auto" w:fill="FFFFFF"/>
        </w:rPr>
        <w:t xml:space="preserve"> </w:t>
      </w:r>
      <w:r w:rsidR="00943259" w:rsidRPr="00367C86">
        <w:rPr>
          <w:rFonts w:ascii="Arial" w:hAnsi="Arial" w:cs="Arial"/>
          <w:sz w:val="20"/>
          <w:szCs w:val="20"/>
          <w:shd w:val="clear" w:color="auto" w:fill="FFFFFF"/>
        </w:rPr>
        <w:tab/>
        <w:t>Création</w:t>
      </w:r>
      <w:r w:rsidRPr="00367C86">
        <w:rPr>
          <w:rFonts w:ascii="Arial" w:hAnsi="Arial" w:cs="Arial"/>
          <w:sz w:val="20"/>
          <w:szCs w:val="20"/>
          <w:shd w:val="clear" w:color="auto" w:fill="FFFFFF"/>
        </w:rPr>
        <w:t xml:space="preserve"> du Comité de dialogu</w:t>
      </w:r>
      <w:r w:rsidR="00943259" w:rsidRPr="00367C86">
        <w:rPr>
          <w:rFonts w:ascii="Arial" w:hAnsi="Arial" w:cs="Arial"/>
          <w:sz w:val="20"/>
          <w:szCs w:val="20"/>
          <w:shd w:val="clear" w:color="auto" w:fill="FFFFFF"/>
        </w:rPr>
        <w:t xml:space="preserve">e Radiofréquences et santé, </w:t>
      </w:r>
      <w:r w:rsidRPr="00367C86">
        <w:rPr>
          <w:rFonts w:ascii="Arial" w:hAnsi="Arial" w:cs="Arial"/>
          <w:sz w:val="20"/>
          <w:szCs w:val="20"/>
          <w:shd w:val="clear" w:color="auto" w:fill="FFFFFF"/>
        </w:rPr>
        <w:t>ANSES (</w:t>
      </w:r>
      <w:r w:rsidR="00943259" w:rsidRPr="00367C86">
        <w:rPr>
          <w:rFonts w:ascii="Arial" w:hAnsi="Arial" w:cs="Arial"/>
          <w:sz w:val="20"/>
          <w:szCs w:val="20"/>
          <w:shd w:val="clear" w:color="auto" w:fill="FFFFFF"/>
        </w:rPr>
        <w:t xml:space="preserve">instance de concertation : </w:t>
      </w:r>
      <w:r w:rsidRPr="00367C86">
        <w:rPr>
          <w:rFonts w:ascii="Arial" w:hAnsi="Arial" w:cs="Arial"/>
          <w:sz w:val="20"/>
          <w:szCs w:val="20"/>
        </w:rPr>
        <w:t>associations, opérateurs de téléphonie mobile, institutions publiques, collectivités locales, experts</w:t>
      </w:r>
      <w:r w:rsidR="00943259" w:rsidRPr="00367C86">
        <w:rPr>
          <w:rFonts w:ascii="Arial" w:hAnsi="Arial" w:cs="Arial"/>
          <w:sz w:val="20"/>
          <w:szCs w:val="20"/>
        </w:rPr>
        <w:t>)</w:t>
      </w:r>
    </w:p>
    <w:p w:rsidR="00400987" w:rsidRPr="00367C86" w:rsidRDefault="00B4434E" w:rsidP="00367C86">
      <w:pPr>
        <w:rPr>
          <w:rFonts w:ascii="Arial" w:hAnsi="Arial" w:cs="Arial"/>
          <w:sz w:val="20"/>
          <w:szCs w:val="20"/>
          <w:shd w:val="clear" w:color="auto" w:fill="FFFFFF"/>
        </w:rPr>
      </w:pPr>
      <w:r w:rsidRPr="00367C86">
        <w:rPr>
          <w:rFonts w:ascii="Arial" w:hAnsi="Arial" w:cs="Arial"/>
          <w:sz w:val="20"/>
          <w:szCs w:val="20"/>
          <w:shd w:val="clear" w:color="auto" w:fill="FFFFFF"/>
        </w:rPr>
        <w:t xml:space="preserve">2011 : </w:t>
      </w:r>
      <w:r w:rsidR="00400987" w:rsidRPr="00367C86">
        <w:rPr>
          <w:rFonts w:ascii="Arial" w:hAnsi="Arial" w:cs="Arial"/>
          <w:sz w:val="20"/>
          <w:szCs w:val="20"/>
          <w:shd w:val="clear" w:color="auto" w:fill="FFFFFF"/>
        </w:rPr>
        <w:tab/>
      </w:r>
      <w:r w:rsidRPr="00367C86">
        <w:rPr>
          <w:rFonts w:ascii="Arial" w:hAnsi="Arial" w:cs="Arial"/>
          <w:sz w:val="20"/>
          <w:szCs w:val="20"/>
          <w:shd w:val="clear" w:color="auto" w:fill="FFFFFF"/>
        </w:rPr>
        <w:t>l’ANSES s’</w:t>
      </w:r>
      <w:r w:rsidR="00680484" w:rsidRPr="00367C86">
        <w:rPr>
          <w:rFonts w:ascii="Arial" w:hAnsi="Arial" w:cs="Arial"/>
          <w:sz w:val="20"/>
          <w:szCs w:val="20"/>
          <w:shd w:val="clear" w:color="auto" w:fill="FFFFFF"/>
        </w:rPr>
        <w:t>autosaisit pour la mise</w:t>
      </w:r>
      <w:r w:rsidRPr="00367C86">
        <w:rPr>
          <w:rFonts w:ascii="Arial" w:hAnsi="Arial" w:cs="Arial"/>
          <w:sz w:val="20"/>
          <w:szCs w:val="20"/>
          <w:shd w:val="clear" w:color="auto" w:fill="FFFFFF"/>
        </w:rPr>
        <w:t xml:space="preserve"> en place </w:t>
      </w:r>
      <w:r w:rsidR="00680484" w:rsidRPr="00367C86">
        <w:rPr>
          <w:rFonts w:ascii="Arial" w:hAnsi="Arial" w:cs="Arial"/>
          <w:sz w:val="20"/>
          <w:szCs w:val="20"/>
          <w:shd w:val="clear" w:color="auto" w:fill="FFFFFF"/>
        </w:rPr>
        <w:t>d’</w:t>
      </w:r>
      <w:r w:rsidRPr="00367C86">
        <w:rPr>
          <w:rFonts w:ascii="Arial" w:hAnsi="Arial" w:cs="Arial"/>
          <w:sz w:val="20"/>
          <w:szCs w:val="20"/>
          <w:shd w:val="clear" w:color="auto" w:fill="FFFFFF"/>
        </w:rPr>
        <w:t>un groupe de travail pérenne Radiofréquences et santé</w:t>
      </w:r>
    </w:p>
    <w:p w:rsidR="00680484" w:rsidRPr="00367C86" w:rsidRDefault="00680484" w:rsidP="00367C86">
      <w:pPr>
        <w:rPr>
          <w:rFonts w:ascii="Arial" w:hAnsi="Arial" w:cs="Arial"/>
          <w:sz w:val="20"/>
          <w:szCs w:val="20"/>
        </w:rPr>
      </w:pPr>
      <w:r w:rsidRPr="00367C86">
        <w:rPr>
          <w:rFonts w:ascii="Arial" w:hAnsi="Arial" w:cs="Arial"/>
          <w:sz w:val="20"/>
          <w:szCs w:val="20"/>
          <w:shd w:val="clear" w:color="auto" w:fill="FFFFFF"/>
        </w:rPr>
        <w:t xml:space="preserve">2013 : </w:t>
      </w:r>
      <w:r w:rsidR="000B6D16" w:rsidRPr="00367C86">
        <w:rPr>
          <w:rFonts w:ascii="Arial" w:hAnsi="Arial" w:cs="Arial"/>
          <w:sz w:val="20"/>
          <w:szCs w:val="20"/>
          <w:shd w:val="clear" w:color="auto" w:fill="FFFFFF"/>
        </w:rPr>
        <w:tab/>
      </w:r>
      <w:r w:rsidRPr="00367C86">
        <w:rPr>
          <w:rFonts w:ascii="Arial" w:hAnsi="Arial" w:cs="Arial"/>
          <w:sz w:val="20"/>
          <w:szCs w:val="20"/>
          <w:shd w:val="clear" w:color="auto" w:fill="FFFFFF"/>
        </w:rPr>
        <w:t xml:space="preserve">Mise à jour de l’expertise collective </w:t>
      </w:r>
      <w:r w:rsidRPr="00367C86">
        <w:rPr>
          <w:rFonts w:ascii="Arial" w:hAnsi="Arial" w:cs="Arial"/>
          <w:i/>
          <w:sz w:val="20"/>
          <w:szCs w:val="20"/>
          <w:shd w:val="clear" w:color="auto" w:fill="FFFFFF"/>
        </w:rPr>
        <w:t>Radiofréquences et santé</w:t>
      </w:r>
      <w:r w:rsidRPr="00367C86">
        <w:rPr>
          <w:rFonts w:ascii="Arial" w:hAnsi="Arial" w:cs="Arial"/>
          <w:sz w:val="20"/>
          <w:szCs w:val="20"/>
          <w:shd w:val="clear" w:color="auto" w:fill="FFFFFF"/>
        </w:rPr>
        <w:t xml:space="preserve"> </w:t>
      </w:r>
      <w:r w:rsidR="00E23933" w:rsidRPr="00367C86">
        <w:rPr>
          <w:rFonts w:ascii="Arial" w:hAnsi="Arial" w:cs="Arial"/>
          <w:sz w:val="20"/>
          <w:szCs w:val="20"/>
          <w:shd w:val="clear" w:color="auto" w:fill="FFFFFF"/>
        </w:rPr>
        <w:t xml:space="preserve">de </w:t>
      </w:r>
      <w:r w:rsidRPr="00367C86">
        <w:rPr>
          <w:rFonts w:ascii="Arial" w:hAnsi="Arial" w:cs="Arial"/>
          <w:sz w:val="20"/>
          <w:szCs w:val="20"/>
          <w:shd w:val="clear" w:color="auto" w:fill="FFFFFF"/>
        </w:rPr>
        <w:t>l’A</w:t>
      </w:r>
      <w:r w:rsidR="00E23933" w:rsidRPr="00367C86">
        <w:rPr>
          <w:rFonts w:ascii="Arial" w:hAnsi="Arial" w:cs="Arial"/>
          <w:sz w:val="20"/>
          <w:szCs w:val="20"/>
          <w:shd w:val="clear" w:color="auto" w:fill="FFFFFF"/>
        </w:rPr>
        <w:t>NSES</w:t>
      </w:r>
      <w:r w:rsidRPr="00367C86">
        <w:rPr>
          <w:rStyle w:val="Appelnotedebasdep"/>
          <w:rFonts w:ascii="Arial" w:hAnsi="Arial" w:cs="Arial"/>
          <w:sz w:val="20"/>
          <w:szCs w:val="20"/>
          <w:shd w:val="clear" w:color="auto" w:fill="FFFFFF"/>
        </w:rPr>
        <w:footnoteReference w:id="72"/>
      </w:r>
      <w:r w:rsidR="00E23933" w:rsidRPr="00367C86">
        <w:rPr>
          <w:rFonts w:ascii="Arial" w:hAnsi="Arial" w:cs="Arial"/>
          <w:sz w:val="20"/>
          <w:szCs w:val="20"/>
          <w:shd w:val="clear" w:color="auto" w:fill="FFFFFF"/>
        </w:rPr>
        <w:t>. Impact sur l’activité électrique du cerveau, plus grande vu</w:t>
      </w:r>
      <w:r w:rsidR="005F2D67">
        <w:rPr>
          <w:rFonts w:ascii="Arial" w:hAnsi="Arial" w:cs="Arial"/>
          <w:sz w:val="20"/>
          <w:szCs w:val="20"/>
          <w:shd w:val="clear" w:color="auto" w:fill="FFFFFF"/>
        </w:rPr>
        <w:t xml:space="preserve">lnérabilité des enfants, </w:t>
      </w:r>
      <w:r w:rsidR="00E23933" w:rsidRPr="00367C86">
        <w:rPr>
          <w:rFonts w:ascii="Arial" w:hAnsi="Arial" w:cs="Arial"/>
          <w:sz w:val="20"/>
          <w:szCs w:val="20"/>
          <w:shd w:val="clear" w:color="auto" w:fill="FFFFFF"/>
        </w:rPr>
        <w:t>manque de recul s</w:t>
      </w:r>
      <w:r w:rsidR="008800F5" w:rsidRPr="00367C86">
        <w:rPr>
          <w:rFonts w:ascii="Arial" w:hAnsi="Arial" w:cs="Arial"/>
          <w:sz w:val="20"/>
          <w:szCs w:val="20"/>
          <w:shd w:val="clear" w:color="auto" w:fill="FFFFFF"/>
        </w:rPr>
        <w:t>ur les nouvelles technologies. Impacts possibles sur le sommeil, la fertilité masculi</w:t>
      </w:r>
      <w:r w:rsidR="005F2D67">
        <w:rPr>
          <w:rFonts w:ascii="Arial" w:hAnsi="Arial" w:cs="Arial"/>
          <w:sz w:val="20"/>
          <w:szCs w:val="20"/>
          <w:shd w:val="clear" w:color="auto" w:fill="FFFFFF"/>
        </w:rPr>
        <w:t>ne, les performances cognitives</w:t>
      </w:r>
      <w:r w:rsidR="008800F5" w:rsidRPr="00367C86">
        <w:rPr>
          <w:rFonts w:ascii="Arial" w:hAnsi="Arial" w:cs="Arial"/>
          <w:sz w:val="20"/>
          <w:szCs w:val="20"/>
          <w:shd w:val="clear" w:color="auto" w:fill="FFFFFF"/>
        </w:rPr>
        <w:t xml:space="preserve"> </w:t>
      </w:r>
      <w:r w:rsidR="00E23933" w:rsidRPr="00367C86">
        <w:rPr>
          <w:rFonts w:ascii="Arial" w:hAnsi="Arial" w:cs="Arial"/>
          <w:sz w:val="20"/>
          <w:szCs w:val="20"/>
          <w:shd w:val="clear" w:color="auto" w:fill="FFFFFF"/>
        </w:rPr>
        <w:t>L’ANSES recomm</w:t>
      </w:r>
      <w:r w:rsidR="008800F5" w:rsidRPr="00367C86">
        <w:rPr>
          <w:rFonts w:ascii="Arial" w:hAnsi="Arial" w:cs="Arial"/>
          <w:sz w:val="20"/>
          <w:szCs w:val="20"/>
          <w:shd w:val="clear" w:color="auto" w:fill="FFFFFF"/>
        </w:rPr>
        <w:t xml:space="preserve">ande de limiter les expositions et insiste à nouveau sur </w:t>
      </w:r>
      <w:r w:rsidR="008800F5" w:rsidRPr="00367C86">
        <w:rPr>
          <w:rFonts w:ascii="Arial" w:hAnsi="Arial" w:cs="Arial"/>
          <w:sz w:val="20"/>
          <w:szCs w:val="20"/>
        </w:rPr>
        <w:t xml:space="preserve"> la nécessité de surveiller les effets éventuels des radiofréquences sur la santé des enfants.</w:t>
      </w:r>
    </w:p>
    <w:p w:rsidR="008800F5" w:rsidRPr="00367C86" w:rsidRDefault="008800F5" w:rsidP="00367C86">
      <w:pPr>
        <w:rPr>
          <w:rFonts w:ascii="Arial" w:hAnsi="Arial" w:cs="Arial"/>
          <w:sz w:val="20"/>
          <w:szCs w:val="20"/>
        </w:rPr>
      </w:pPr>
      <w:r w:rsidRPr="00367C86">
        <w:rPr>
          <w:rFonts w:ascii="Arial" w:hAnsi="Arial" w:cs="Arial"/>
          <w:sz w:val="20"/>
          <w:szCs w:val="20"/>
        </w:rPr>
        <w:t xml:space="preserve">2016 : </w:t>
      </w:r>
      <w:r w:rsidRPr="00367C86">
        <w:rPr>
          <w:rFonts w:ascii="Arial" w:hAnsi="Arial" w:cs="Arial"/>
          <w:sz w:val="20"/>
          <w:szCs w:val="20"/>
        </w:rPr>
        <w:tab/>
        <w:t xml:space="preserve">Rapport ANSES </w:t>
      </w:r>
      <w:r w:rsidRPr="00367C86">
        <w:rPr>
          <w:rFonts w:ascii="Arial" w:hAnsi="Arial" w:cs="Arial"/>
          <w:i/>
          <w:sz w:val="20"/>
          <w:szCs w:val="20"/>
        </w:rPr>
        <w:t>Exposition aux radiofréquences et santé des enfants</w:t>
      </w:r>
      <w:r w:rsidRPr="00367C86">
        <w:rPr>
          <w:rFonts w:ascii="Arial" w:hAnsi="Arial" w:cs="Arial"/>
          <w:sz w:val="20"/>
          <w:szCs w:val="20"/>
        </w:rPr>
        <w:t xml:space="preserve">, sur saisine de la Direction générale de la santé (DGS), la Direction générale de la prévention des risques (DGPR) et la Direction générale de la concurrence, de la consommation et de la répression des fraudes (DGCCRF). Reconnaissance d’une plus grande vulnérabilité des enfants. Le Comité d’experts spécialisés « recommande, notamment aux parents, en matière </w:t>
      </w:r>
      <w:r w:rsidR="00840674" w:rsidRPr="00367C86">
        <w:rPr>
          <w:rFonts w:ascii="Arial" w:hAnsi="Arial" w:cs="Arial"/>
          <w:sz w:val="20"/>
          <w:szCs w:val="20"/>
        </w:rPr>
        <w:t xml:space="preserve">de réduction de l’exposition : </w:t>
      </w:r>
      <w:r w:rsidRPr="00367C86">
        <w:rPr>
          <w:rFonts w:ascii="Arial" w:hAnsi="Arial" w:cs="Arial"/>
          <w:sz w:val="20"/>
          <w:szCs w:val="20"/>
        </w:rPr>
        <w:t>de limiter l’utilisation par les enfants des dispositifs électroniques émetteurs (tablettes, téléphone, etc.)</w:t>
      </w:r>
      <w:r w:rsidR="00840674" w:rsidRPr="00367C86">
        <w:rPr>
          <w:rFonts w:ascii="Arial" w:hAnsi="Arial" w:cs="Arial"/>
          <w:sz w:val="20"/>
          <w:szCs w:val="20"/>
        </w:rPr>
        <w:t> »</w:t>
      </w:r>
      <w:r w:rsidRPr="00367C86">
        <w:rPr>
          <w:rFonts w:ascii="Arial" w:hAnsi="Arial" w:cs="Arial"/>
          <w:sz w:val="20"/>
          <w:szCs w:val="20"/>
        </w:rPr>
        <w:t xml:space="preserve"> </w:t>
      </w:r>
    </w:p>
    <w:p w:rsidR="00AB128E" w:rsidRPr="00367C86" w:rsidRDefault="00E23933" w:rsidP="00367C86">
      <w:pPr>
        <w:rPr>
          <w:rFonts w:ascii="Arial" w:hAnsi="Arial" w:cs="Arial"/>
          <w:sz w:val="20"/>
          <w:szCs w:val="20"/>
        </w:rPr>
      </w:pPr>
      <w:r w:rsidRPr="00367C86">
        <w:rPr>
          <w:rFonts w:ascii="Arial" w:hAnsi="Arial" w:cs="Arial"/>
          <w:sz w:val="20"/>
          <w:szCs w:val="20"/>
          <w:shd w:val="clear" w:color="auto" w:fill="FFFFFF"/>
        </w:rPr>
        <w:t xml:space="preserve">2018 : </w:t>
      </w:r>
      <w:r w:rsidR="000B6D16" w:rsidRPr="00367C86">
        <w:rPr>
          <w:rFonts w:ascii="Arial" w:hAnsi="Arial" w:cs="Arial"/>
          <w:sz w:val="20"/>
          <w:szCs w:val="20"/>
          <w:shd w:val="clear" w:color="auto" w:fill="FFFFFF"/>
        </w:rPr>
        <w:tab/>
      </w:r>
      <w:r w:rsidR="004D5735" w:rsidRPr="00367C86">
        <w:rPr>
          <w:rFonts w:ascii="Arial" w:hAnsi="Arial" w:cs="Arial"/>
          <w:sz w:val="20"/>
          <w:szCs w:val="20"/>
          <w:shd w:val="clear" w:color="auto" w:fill="FFFFFF"/>
        </w:rPr>
        <w:t>rapport</w:t>
      </w:r>
      <w:r w:rsidR="004D5735" w:rsidRPr="00367C86">
        <w:rPr>
          <w:rStyle w:val="Appelnotedebasdep"/>
          <w:rFonts w:ascii="Arial" w:hAnsi="Arial" w:cs="Arial"/>
          <w:sz w:val="20"/>
          <w:szCs w:val="20"/>
          <w:shd w:val="clear" w:color="auto" w:fill="FFFFFF"/>
        </w:rPr>
        <w:footnoteReference w:id="73"/>
      </w:r>
      <w:r w:rsidR="004D5735" w:rsidRPr="00367C86">
        <w:rPr>
          <w:rFonts w:ascii="Arial" w:hAnsi="Arial" w:cs="Arial"/>
          <w:sz w:val="20"/>
          <w:szCs w:val="20"/>
          <w:shd w:val="clear" w:color="auto" w:fill="FFFFFF"/>
        </w:rPr>
        <w:t xml:space="preserve"> </w:t>
      </w:r>
      <w:r w:rsidR="008800F5" w:rsidRPr="00367C86">
        <w:rPr>
          <w:rFonts w:ascii="Arial" w:hAnsi="Arial" w:cs="Arial"/>
          <w:sz w:val="20"/>
          <w:szCs w:val="20"/>
          <w:shd w:val="clear" w:color="auto" w:fill="FFFFFF"/>
        </w:rPr>
        <w:t xml:space="preserve">ANSES </w:t>
      </w:r>
      <w:r w:rsidR="008800F5" w:rsidRPr="00367C86">
        <w:rPr>
          <w:rFonts w:ascii="Arial" w:hAnsi="Arial" w:cs="Arial"/>
          <w:i/>
          <w:sz w:val="20"/>
          <w:szCs w:val="20"/>
        </w:rPr>
        <w:t>Hypersensibilité électromagnétique ou intolérance environnementale idiopathique attribuée aux champs électromagnétiques</w:t>
      </w:r>
      <w:r w:rsidR="00110B71" w:rsidRPr="00367C86">
        <w:rPr>
          <w:rFonts w:ascii="Arial" w:hAnsi="Arial" w:cs="Arial"/>
          <w:sz w:val="20"/>
          <w:szCs w:val="20"/>
        </w:rPr>
        <w:t xml:space="preserve">, reconnaissance de </w:t>
      </w:r>
      <w:r w:rsidR="005F2D67">
        <w:rPr>
          <w:rFonts w:ascii="Arial" w:hAnsi="Arial" w:cs="Arial"/>
          <w:sz w:val="20"/>
          <w:szCs w:val="20"/>
        </w:rPr>
        <w:t>la réalité des souffrances (mais pas d’un lien de causalité)</w:t>
      </w:r>
      <w:r w:rsidR="00110B71" w:rsidRPr="00367C86">
        <w:rPr>
          <w:rFonts w:ascii="Arial" w:hAnsi="Arial" w:cs="Arial"/>
          <w:sz w:val="20"/>
          <w:szCs w:val="20"/>
        </w:rPr>
        <w:t xml:space="preserve"> et recommandation d’une meilleure prise en charge.</w:t>
      </w:r>
    </w:p>
    <w:p w:rsidR="001B1EDF" w:rsidRPr="00367C86" w:rsidRDefault="001B1EDF" w:rsidP="00367C86">
      <w:pPr>
        <w:rPr>
          <w:rFonts w:ascii="Arial" w:hAnsi="Arial" w:cs="Arial"/>
          <w:sz w:val="20"/>
          <w:szCs w:val="20"/>
        </w:rPr>
      </w:pPr>
      <w:r w:rsidRPr="00367C86">
        <w:rPr>
          <w:rFonts w:ascii="Arial" w:hAnsi="Arial" w:cs="Arial"/>
          <w:sz w:val="20"/>
          <w:szCs w:val="20"/>
        </w:rPr>
        <w:t xml:space="preserve">2021 : </w:t>
      </w:r>
      <w:r w:rsidRPr="00367C86">
        <w:rPr>
          <w:rFonts w:ascii="Arial" w:hAnsi="Arial" w:cs="Arial"/>
          <w:sz w:val="20"/>
          <w:szCs w:val="20"/>
        </w:rPr>
        <w:tab/>
        <w:t>rapport d’expertise ANSES sur la 5G</w:t>
      </w:r>
    </w:p>
    <w:p w:rsidR="00D20BEA" w:rsidRPr="00367C86" w:rsidRDefault="00110B71" w:rsidP="00367C86">
      <w:pPr>
        <w:rPr>
          <w:rFonts w:ascii="Arial" w:hAnsi="Arial" w:cs="Arial"/>
          <w:sz w:val="20"/>
          <w:szCs w:val="20"/>
        </w:rPr>
      </w:pPr>
      <w:r w:rsidRPr="00367C86">
        <w:rPr>
          <w:rFonts w:ascii="Arial" w:hAnsi="Arial" w:cs="Arial"/>
          <w:sz w:val="20"/>
          <w:szCs w:val="20"/>
        </w:rPr>
        <w:t xml:space="preserve">2024 : </w:t>
      </w:r>
      <w:r w:rsidRPr="00367C86">
        <w:rPr>
          <w:rFonts w:ascii="Arial" w:hAnsi="Arial" w:cs="Arial"/>
          <w:sz w:val="20"/>
          <w:szCs w:val="20"/>
        </w:rPr>
        <w:tab/>
      </w:r>
      <w:r w:rsidR="001426D5" w:rsidRPr="00367C86">
        <w:rPr>
          <w:rFonts w:ascii="Arial" w:hAnsi="Arial" w:cs="Arial"/>
          <w:sz w:val="20"/>
          <w:szCs w:val="20"/>
        </w:rPr>
        <w:t>l’ANSES met</w:t>
      </w:r>
      <w:r w:rsidR="00840674" w:rsidRPr="00367C86">
        <w:rPr>
          <w:rFonts w:ascii="Arial" w:hAnsi="Arial" w:cs="Arial"/>
          <w:sz w:val="20"/>
          <w:szCs w:val="20"/>
        </w:rPr>
        <w:t xml:space="preserve"> en consultation publique un </w:t>
      </w:r>
      <w:r w:rsidR="001426D5" w:rsidRPr="00367C86">
        <w:rPr>
          <w:rFonts w:ascii="Arial" w:hAnsi="Arial" w:cs="Arial"/>
          <w:sz w:val="20"/>
          <w:szCs w:val="20"/>
        </w:rPr>
        <w:t>rapport</w:t>
      </w:r>
      <w:r w:rsidR="00D20BEA" w:rsidRPr="00367C86">
        <w:rPr>
          <w:rFonts w:ascii="Arial" w:hAnsi="Arial" w:cs="Arial"/>
          <w:sz w:val="20"/>
          <w:szCs w:val="20"/>
        </w:rPr>
        <w:t xml:space="preserve"> intitulé </w:t>
      </w:r>
      <w:r w:rsidR="00D20BEA" w:rsidRPr="00367C86">
        <w:rPr>
          <w:rFonts w:ascii="Arial" w:hAnsi="Arial" w:cs="Arial"/>
          <w:i/>
          <w:sz w:val="20"/>
          <w:szCs w:val="20"/>
        </w:rPr>
        <w:t>Radiofréquences et cancer</w:t>
      </w:r>
      <w:r w:rsidR="00D20BEA" w:rsidRPr="00367C86">
        <w:rPr>
          <w:rFonts w:ascii="Arial" w:hAnsi="Arial" w:cs="Arial"/>
          <w:sz w:val="20"/>
          <w:szCs w:val="20"/>
        </w:rPr>
        <w:t>. La version définitive du rapport n’a pas encore été publiée à ce jour. Sur la base de ce pré-rapport peuvent d’</w:t>
      </w:r>
      <w:r w:rsidR="00840674" w:rsidRPr="00367C86">
        <w:rPr>
          <w:rFonts w:ascii="Arial" w:hAnsi="Arial" w:cs="Arial"/>
          <w:sz w:val="20"/>
          <w:szCs w:val="20"/>
        </w:rPr>
        <w:t>ores et déjà être faites</w:t>
      </w:r>
      <w:r w:rsidR="00D20BEA" w:rsidRPr="00367C86">
        <w:rPr>
          <w:rFonts w:ascii="Arial" w:hAnsi="Arial" w:cs="Arial"/>
          <w:sz w:val="20"/>
          <w:szCs w:val="20"/>
        </w:rPr>
        <w:t xml:space="preserve"> qu</w:t>
      </w:r>
      <w:r w:rsidR="00840674" w:rsidRPr="00367C86">
        <w:rPr>
          <w:rFonts w:ascii="Arial" w:hAnsi="Arial" w:cs="Arial"/>
          <w:sz w:val="20"/>
          <w:szCs w:val="20"/>
        </w:rPr>
        <w:t>elques observations</w:t>
      </w:r>
      <w:r w:rsidR="00D20BEA" w:rsidRPr="00367C86">
        <w:rPr>
          <w:rFonts w:ascii="Arial" w:hAnsi="Arial" w:cs="Arial"/>
          <w:sz w:val="20"/>
          <w:szCs w:val="20"/>
        </w:rPr>
        <w:t xml:space="preserve"> (annexe 23).</w:t>
      </w:r>
      <w:r w:rsidR="00643F04" w:rsidRPr="00367C86">
        <w:rPr>
          <w:rFonts w:ascii="Arial" w:hAnsi="Arial" w:cs="Arial"/>
          <w:sz w:val="20"/>
          <w:szCs w:val="20"/>
        </w:rPr>
        <w:t xml:space="preserve"> </w:t>
      </w:r>
    </w:p>
    <w:p w:rsidR="00643F04" w:rsidRPr="00367C86" w:rsidRDefault="00643F04" w:rsidP="00367C86">
      <w:pPr>
        <w:rPr>
          <w:rFonts w:ascii="Arial" w:hAnsi="Arial" w:cs="Arial"/>
          <w:sz w:val="20"/>
          <w:szCs w:val="20"/>
        </w:rPr>
      </w:pPr>
    </w:p>
    <w:p w:rsidR="00643F04" w:rsidRPr="00367C86" w:rsidRDefault="00643F04" w:rsidP="00367C86">
      <w:pPr>
        <w:ind w:left="0" w:firstLine="0"/>
        <w:rPr>
          <w:rFonts w:ascii="Arial" w:hAnsi="Arial" w:cs="Arial"/>
          <w:sz w:val="20"/>
          <w:szCs w:val="20"/>
        </w:rPr>
      </w:pPr>
      <w:r w:rsidRPr="00367C86">
        <w:rPr>
          <w:rFonts w:ascii="Arial" w:hAnsi="Arial" w:cs="Arial"/>
          <w:sz w:val="20"/>
          <w:szCs w:val="20"/>
        </w:rPr>
        <w:t>La conclusion de ce pré-rapport, ou plutôt l’absence de conclusion concernant l’existence ou l’absence d’effets cancérogènes des radiofréquences, trouvera probablement un écho dans la presse.</w:t>
      </w:r>
    </w:p>
    <w:p w:rsidR="00643F04" w:rsidRPr="00367C86" w:rsidRDefault="00643F04" w:rsidP="00367C86">
      <w:pPr>
        <w:ind w:left="0" w:firstLine="0"/>
        <w:rPr>
          <w:rFonts w:ascii="Arial" w:hAnsi="Arial" w:cs="Arial"/>
          <w:sz w:val="20"/>
          <w:szCs w:val="20"/>
        </w:rPr>
      </w:pPr>
    </w:p>
    <w:p w:rsidR="00733D29" w:rsidRPr="00367C86" w:rsidRDefault="00733D29" w:rsidP="00367C86">
      <w:pPr>
        <w:ind w:left="0" w:firstLine="0"/>
        <w:rPr>
          <w:rFonts w:ascii="Arial" w:hAnsi="Arial" w:cs="Arial"/>
          <w:sz w:val="20"/>
          <w:szCs w:val="20"/>
        </w:rPr>
      </w:pPr>
    </w:p>
    <w:p w:rsidR="00B84CDE" w:rsidRPr="00367C86" w:rsidRDefault="008F16BF" w:rsidP="009F3BB0">
      <w:pPr>
        <w:pStyle w:val="Paragraphedeliste"/>
        <w:numPr>
          <w:ilvl w:val="0"/>
          <w:numId w:val="1"/>
        </w:numPr>
        <w:rPr>
          <w:rFonts w:ascii="Arial" w:hAnsi="Arial" w:cs="Arial"/>
          <w:b/>
          <w:sz w:val="20"/>
          <w:szCs w:val="20"/>
        </w:rPr>
      </w:pPr>
      <w:r w:rsidRPr="00367C86">
        <w:rPr>
          <w:rFonts w:ascii="Arial" w:hAnsi="Arial" w:cs="Arial"/>
          <w:b/>
          <w:sz w:val="20"/>
          <w:szCs w:val="20"/>
        </w:rPr>
        <w:t xml:space="preserve">Traitement médiatique, </w:t>
      </w:r>
      <w:r w:rsidR="00831E1F" w:rsidRPr="00367C86">
        <w:rPr>
          <w:rFonts w:ascii="Arial" w:hAnsi="Arial" w:cs="Arial"/>
          <w:b/>
          <w:sz w:val="20"/>
          <w:szCs w:val="20"/>
        </w:rPr>
        <w:t>contexte réglementaire, volontarisme politique et société civile</w:t>
      </w:r>
      <w:r w:rsidR="005E173B" w:rsidRPr="00367C86">
        <w:rPr>
          <w:rFonts w:ascii="Arial" w:hAnsi="Arial" w:cs="Arial"/>
          <w:b/>
          <w:sz w:val="20"/>
          <w:szCs w:val="20"/>
        </w:rPr>
        <w:t> :</w:t>
      </w:r>
    </w:p>
    <w:p w:rsidR="00643F04" w:rsidRPr="00367C86" w:rsidRDefault="00643F04" w:rsidP="00367C86">
      <w:pPr>
        <w:rPr>
          <w:rFonts w:ascii="Arial" w:hAnsi="Arial" w:cs="Arial"/>
          <w:sz w:val="20"/>
          <w:szCs w:val="20"/>
        </w:rPr>
      </w:pPr>
    </w:p>
    <w:p w:rsidR="00643F04" w:rsidRPr="00367C86" w:rsidRDefault="00D86AB5" w:rsidP="009F3BB0">
      <w:pPr>
        <w:pStyle w:val="Paragraphedeliste"/>
        <w:numPr>
          <w:ilvl w:val="0"/>
          <w:numId w:val="18"/>
        </w:numPr>
        <w:rPr>
          <w:rFonts w:ascii="Arial" w:hAnsi="Arial" w:cs="Arial"/>
          <w:sz w:val="20"/>
          <w:szCs w:val="20"/>
        </w:rPr>
      </w:pPr>
      <w:r>
        <w:rPr>
          <w:rFonts w:ascii="Arial" w:hAnsi="Arial" w:cs="Arial"/>
          <w:sz w:val="20"/>
          <w:szCs w:val="20"/>
        </w:rPr>
        <w:t>T</w:t>
      </w:r>
      <w:r w:rsidR="00643F04" w:rsidRPr="00367C86">
        <w:rPr>
          <w:rFonts w:ascii="Arial" w:hAnsi="Arial" w:cs="Arial"/>
          <w:sz w:val="20"/>
          <w:szCs w:val="20"/>
        </w:rPr>
        <w:t>raitement médiatique :</w:t>
      </w:r>
    </w:p>
    <w:p w:rsidR="00643F04" w:rsidRPr="00367C86" w:rsidRDefault="00643F04" w:rsidP="00367C86">
      <w:pPr>
        <w:rPr>
          <w:rFonts w:ascii="Arial" w:hAnsi="Arial" w:cs="Arial"/>
          <w:sz w:val="20"/>
          <w:szCs w:val="20"/>
        </w:rPr>
      </w:pPr>
    </w:p>
    <w:p w:rsidR="00643F04" w:rsidRPr="00367C86" w:rsidRDefault="00643F04" w:rsidP="00367C86">
      <w:pPr>
        <w:ind w:left="0" w:firstLine="0"/>
        <w:rPr>
          <w:rFonts w:ascii="Arial" w:hAnsi="Arial" w:cs="Arial"/>
          <w:sz w:val="20"/>
          <w:szCs w:val="20"/>
        </w:rPr>
      </w:pPr>
      <w:r w:rsidRPr="00367C86">
        <w:rPr>
          <w:rFonts w:ascii="Arial" w:hAnsi="Arial" w:cs="Arial"/>
          <w:sz w:val="20"/>
          <w:szCs w:val="20"/>
        </w:rPr>
        <w:t xml:space="preserve">Dans son rapport de 1976, Zory Glaser évoquait déjà la pression du public. Etait-ce lié à la </w:t>
      </w:r>
      <w:r w:rsidR="006977FF" w:rsidRPr="00367C86">
        <w:rPr>
          <w:rFonts w:ascii="Arial" w:hAnsi="Arial" w:cs="Arial"/>
          <w:sz w:val="20"/>
          <w:szCs w:val="20"/>
        </w:rPr>
        <w:t xml:space="preserve">récente </w:t>
      </w:r>
      <w:r w:rsidRPr="00367C86">
        <w:rPr>
          <w:rFonts w:ascii="Arial" w:hAnsi="Arial" w:cs="Arial"/>
          <w:sz w:val="20"/>
          <w:szCs w:val="20"/>
        </w:rPr>
        <w:t>commercialisation du four à micro-ondes (1975</w:t>
      </w:r>
      <w:r w:rsidRPr="00367C86">
        <w:rPr>
          <w:rStyle w:val="Appelnotedebasdep"/>
          <w:rFonts w:ascii="Arial" w:hAnsi="Arial" w:cs="Arial"/>
          <w:sz w:val="20"/>
          <w:szCs w:val="20"/>
        </w:rPr>
        <w:footnoteReference w:id="74"/>
      </w:r>
      <w:r w:rsidRPr="00367C86">
        <w:rPr>
          <w:rFonts w:ascii="Arial" w:hAnsi="Arial" w:cs="Arial"/>
          <w:sz w:val="20"/>
          <w:szCs w:val="20"/>
        </w:rPr>
        <w:t>) ? Quoi qu’il en soit, l’émergence et le déploiement à grande vitesse des technologies sans fil peut être observée</w:t>
      </w:r>
      <w:r w:rsidR="006977FF" w:rsidRPr="00367C86">
        <w:rPr>
          <w:rFonts w:ascii="Arial" w:hAnsi="Arial" w:cs="Arial"/>
          <w:sz w:val="20"/>
          <w:szCs w:val="20"/>
        </w:rPr>
        <w:t xml:space="preserve"> à travers une analyse lexicologique</w:t>
      </w:r>
      <w:r w:rsidRPr="00367C86">
        <w:rPr>
          <w:rFonts w:ascii="Arial" w:hAnsi="Arial" w:cs="Arial"/>
          <w:sz w:val="20"/>
          <w:szCs w:val="20"/>
        </w:rPr>
        <w:t xml:space="preserve">, par ailleurs </w:t>
      </w:r>
      <w:r w:rsidRPr="00367C86">
        <w:rPr>
          <w:rFonts w:ascii="Arial" w:hAnsi="Arial" w:cs="Arial"/>
          <w:sz w:val="20"/>
          <w:szCs w:val="20"/>
        </w:rPr>
        <w:lastRenderedPageBreak/>
        <w:t>il est intéressant de relever la façon dont les avis sont relayés dans les médias, la presse plus spécifiquement.</w:t>
      </w:r>
    </w:p>
    <w:p w:rsidR="00643F04" w:rsidRPr="00367C86" w:rsidRDefault="00643F04" w:rsidP="00367C86">
      <w:pPr>
        <w:rPr>
          <w:rFonts w:ascii="Arial" w:hAnsi="Arial" w:cs="Arial"/>
          <w:sz w:val="20"/>
          <w:szCs w:val="20"/>
        </w:rPr>
      </w:pPr>
    </w:p>
    <w:p w:rsidR="00643F04" w:rsidRPr="00367C86" w:rsidRDefault="00643F04" w:rsidP="009F3BB0">
      <w:pPr>
        <w:pStyle w:val="Paragraphedeliste"/>
        <w:numPr>
          <w:ilvl w:val="0"/>
          <w:numId w:val="19"/>
        </w:numPr>
        <w:rPr>
          <w:rFonts w:ascii="Arial" w:hAnsi="Arial" w:cs="Arial"/>
          <w:sz w:val="20"/>
          <w:szCs w:val="20"/>
        </w:rPr>
      </w:pPr>
      <w:r w:rsidRPr="00367C86">
        <w:rPr>
          <w:rFonts w:ascii="Arial" w:hAnsi="Arial" w:cs="Arial"/>
          <w:sz w:val="20"/>
          <w:szCs w:val="20"/>
        </w:rPr>
        <w:t xml:space="preserve">Lexicologie : </w:t>
      </w:r>
    </w:p>
    <w:p w:rsidR="00643F04" w:rsidRPr="00367C86" w:rsidRDefault="00643F04" w:rsidP="00367C86">
      <w:pPr>
        <w:ind w:left="360" w:firstLine="0"/>
        <w:rPr>
          <w:rFonts w:ascii="Arial" w:hAnsi="Arial" w:cs="Arial"/>
          <w:sz w:val="20"/>
          <w:szCs w:val="20"/>
        </w:rPr>
      </w:pPr>
    </w:p>
    <w:p w:rsidR="006977FF" w:rsidRPr="00367C86" w:rsidRDefault="00643F04" w:rsidP="00367C86">
      <w:pPr>
        <w:ind w:left="0" w:firstLine="0"/>
        <w:rPr>
          <w:rFonts w:ascii="Arial" w:hAnsi="Arial" w:cs="Arial"/>
          <w:sz w:val="20"/>
          <w:szCs w:val="20"/>
        </w:rPr>
      </w:pPr>
      <w:r w:rsidRPr="00367C86">
        <w:rPr>
          <w:rFonts w:ascii="Arial" w:hAnsi="Arial" w:cs="Arial"/>
          <w:sz w:val="20"/>
          <w:szCs w:val="20"/>
        </w:rPr>
        <w:t>Gallicagram</w:t>
      </w:r>
      <w:r w:rsidRPr="00367C86">
        <w:rPr>
          <w:rStyle w:val="Appelnotedebasdep"/>
          <w:rFonts w:ascii="Arial" w:hAnsi="Arial" w:cs="Arial"/>
          <w:sz w:val="20"/>
          <w:szCs w:val="20"/>
        </w:rPr>
        <w:footnoteReference w:id="75"/>
      </w:r>
      <w:r w:rsidRPr="00367C86">
        <w:rPr>
          <w:rFonts w:ascii="Arial" w:hAnsi="Arial" w:cs="Arial"/>
          <w:sz w:val="20"/>
          <w:szCs w:val="20"/>
        </w:rPr>
        <w:t> est un logiciel de lexicométrie b</w:t>
      </w:r>
      <w:r w:rsidR="005F2D67">
        <w:rPr>
          <w:rFonts w:ascii="Arial" w:hAnsi="Arial" w:cs="Arial"/>
          <w:sz w:val="20"/>
          <w:szCs w:val="20"/>
        </w:rPr>
        <w:t>i</w:t>
      </w:r>
      <w:r w:rsidRPr="00367C86">
        <w:rPr>
          <w:rFonts w:ascii="Arial" w:hAnsi="Arial" w:cs="Arial"/>
          <w:sz w:val="20"/>
          <w:szCs w:val="20"/>
        </w:rPr>
        <w:t xml:space="preserve">en amusant et un tantinet addictif : il permet </w:t>
      </w:r>
      <w:r w:rsidR="00D73275" w:rsidRPr="00367C86">
        <w:rPr>
          <w:rFonts w:ascii="Arial" w:hAnsi="Arial" w:cs="Arial"/>
          <w:sz w:val="20"/>
          <w:szCs w:val="20"/>
        </w:rPr>
        <w:t xml:space="preserve">en effet </w:t>
      </w:r>
      <w:r w:rsidRPr="00367C86">
        <w:rPr>
          <w:rFonts w:ascii="Arial" w:hAnsi="Arial" w:cs="Arial"/>
          <w:sz w:val="20"/>
          <w:szCs w:val="20"/>
        </w:rPr>
        <w:t>de mesurer l’évolution dans le temps de la fréquence de mots ou groupes de mots dans de grands corpus dé périodiques homogènes</w:t>
      </w:r>
      <w:r w:rsidR="00D73275" w:rsidRPr="00367C86">
        <w:rPr>
          <w:rFonts w:ascii="Arial" w:hAnsi="Arial" w:cs="Arial"/>
          <w:sz w:val="20"/>
          <w:szCs w:val="20"/>
        </w:rPr>
        <w:t xml:space="preserve"> et nous l’avons testé. Les graphes présentés en annexe 24 montrent ainsi l’évolution de l’apparition dans la presse du domaine lexical lié aux technologies sans fil. Parallèlement, nous avons testé des problématiques sanitaires, sans intention d’établir un quelconque lien de causalité, on peut toutefois noter la contemporanéité (qui m’a interpellée cependant : je me suis demandé si l’outil fonctionnait et ai testé un mot intrus, à vous de trouver lequel !)</w:t>
      </w:r>
      <w:r w:rsidR="006977FF" w:rsidRPr="00367C86">
        <w:rPr>
          <w:rFonts w:ascii="Arial" w:hAnsi="Arial" w:cs="Arial"/>
          <w:sz w:val="20"/>
          <w:szCs w:val="20"/>
        </w:rPr>
        <w:t xml:space="preserve">. </w:t>
      </w:r>
    </w:p>
    <w:p w:rsidR="00643F04" w:rsidRPr="00367C86" w:rsidRDefault="006977FF" w:rsidP="00367C86">
      <w:pPr>
        <w:ind w:left="0" w:firstLine="0"/>
        <w:rPr>
          <w:rFonts w:ascii="Arial" w:hAnsi="Arial" w:cs="Arial"/>
          <w:sz w:val="20"/>
          <w:szCs w:val="20"/>
        </w:rPr>
      </w:pPr>
      <w:r w:rsidRPr="00367C86">
        <w:rPr>
          <w:rFonts w:ascii="Arial" w:hAnsi="Arial" w:cs="Arial"/>
          <w:sz w:val="20"/>
          <w:szCs w:val="20"/>
        </w:rPr>
        <w:t>Nous avons également consulté l’équivalent américain de Gallicagram. Compte-tenu de la taille de ce mémoire, nous n’analyserons pas les graphes obtenus livrés ici à l’état brut (nous avons juste à deux reprises indiqué un repère temporel) : ce pourrait être l’objet d’un autre mémoire, avis aux amateurs.</w:t>
      </w:r>
    </w:p>
    <w:p w:rsidR="006977FF" w:rsidRPr="00367C86" w:rsidRDefault="006977FF" w:rsidP="00367C86">
      <w:pPr>
        <w:ind w:left="0" w:firstLine="0"/>
        <w:rPr>
          <w:rFonts w:ascii="Arial" w:hAnsi="Arial" w:cs="Arial"/>
          <w:sz w:val="20"/>
          <w:szCs w:val="20"/>
        </w:rPr>
      </w:pPr>
    </w:p>
    <w:p w:rsidR="006977FF" w:rsidRPr="00367C86" w:rsidRDefault="00676C10" w:rsidP="009F3BB0">
      <w:pPr>
        <w:pStyle w:val="Paragraphedeliste"/>
        <w:numPr>
          <w:ilvl w:val="0"/>
          <w:numId w:val="19"/>
        </w:numPr>
        <w:rPr>
          <w:rFonts w:ascii="Arial" w:hAnsi="Arial" w:cs="Arial"/>
          <w:sz w:val="20"/>
          <w:szCs w:val="20"/>
        </w:rPr>
      </w:pPr>
      <w:r w:rsidRPr="00367C86">
        <w:rPr>
          <w:rFonts w:ascii="Arial" w:hAnsi="Arial" w:cs="Arial"/>
          <w:sz w:val="20"/>
          <w:szCs w:val="20"/>
        </w:rPr>
        <w:t xml:space="preserve">Ce que </w:t>
      </w:r>
      <w:r w:rsidR="006977FF" w:rsidRPr="00367C86">
        <w:rPr>
          <w:rFonts w:ascii="Arial" w:hAnsi="Arial" w:cs="Arial"/>
          <w:sz w:val="20"/>
          <w:szCs w:val="20"/>
        </w:rPr>
        <w:t>retiennent les médias :</w:t>
      </w:r>
    </w:p>
    <w:p w:rsidR="006977FF" w:rsidRPr="00367C86" w:rsidRDefault="006977FF" w:rsidP="00367C86">
      <w:pPr>
        <w:rPr>
          <w:rFonts w:ascii="Arial" w:hAnsi="Arial" w:cs="Arial"/>
          <w:sz w:val="20"/>
          <w:szCs w:val="20"/>
        </w:rPr>
      </w:pPr>
    </w:p>
    <w:p w:rsidR="001B1EDF" w:rsidRPr="00367C86" w:rsidRDefault="001B1EDF" w:rsidP="00367C86">
      <w:pPr>
        <w:rPr>
          <w:rFonts w:ascii="Arial" w:hAnsi="Arial" w:cs="Arial"/>
          <w:sz w:val="20"/>
          <w:szCs w:val="20"/>
        </w:rPr>
      </w:pPr>
      <w:r w:rsidRPr="00367C86">
        <w:rPr>
          <w:rFonts w:ascii="Arial" w:hAnsi="Arial" w:cs="Arial"/>
          <w:sz w:val="20"/>
          <w:szCs w:val="20"/>
        </w:rPr>
        <w:t xml:space="preserve">Le lendemain du rapport ANSES 2013 qui avait indiqué ceci : </w:t>
      </w:r>
    </w:p>
    <w:p w:rsidR="001B1EDF" w:rsidRPr="00367C86" w:rsidRDefault="001B1EDF" w:rsidP="00367C86">
      <w:pPr>
        <w:ind w:left="0" w:firstLine="0"/>
        <w:rPr>
          <w:rFonts w:ascii="Arial" w:hAnsi="Arial" w:cs="Arial"/>
          <w:sz w:val="20"/>
          <w:szCs w:val="20"/>
        </w:rPr>
      </w:pPr>
      <w:r w:rsidRPr="00367C86">
        <w:rPr>
          <w:rFonts w:ascii="Arial" w:hAnsi="Arial" w:cs="Arial"/>
          <w:sz w:val="20"/>
          <w:szCs w:val="20"/>
        </w:rPr>
        <w:t>« </w:t>
      </w:r>
      <w:r w:rsidRPr="00367C86">
        <w:rPr>
          <w:rFonts w:ascii="Arial" w:hAnsi="Arial" w:cs="Arial"/>
          <w:i/>
          <w:iCs/>
          <w:sz w:val="20"/>
          <w:szCs w:val="20"/>
        </w:rPr>
        <w:t xml:space="preserve">L’expertise de l’ANSES ne met pas en évidence </w:t>
      </w:r>
      <w:r w:rsidRPr="00367C86">
        <w:rPr>
          <w:rFonts w:ascii="Arial" w:hAnsi="Arial" w:cs="Arial"/>
          <w:bCs/>
          <w:i/>
          <w:iCs/>
          <w:sz w:val="20"/>
          <w:szCs w:val="20"/>
        </w:rPr>
        <w:t>d’effet sanitaire avéré</w:t>
      </w:r>
      <w:r w:rsidRPr="00367C86">
        <w:rPr>
          <w:rFonts w:ascii="Arial" w:hAnsi="Arial" w:cs="Arial"/>
          <w:i/>
          <w:iCs/>
          <w:sz w:val="20"/>
          <w:szCs w:val="20"/>
        </w:rPr>
        <w:t xml:space="preserve">. Elle pointe toutefois, </w:t>
      </w:r>
      <w:r w:rsidRPr="00367C86">
        <w:rPr>
          <w:rFonts w:ascii="Arial" w:hAnsi="Arial" w:cs="Arial"/>
          <w:bCs/>
          <w:i/>
          <w:iCs/>
          <w:sz w:val="20"/>
          <w:szCs w:val="20"/>
        </w:rPr>
        <w:t>avec des niveaux de preuve limités</w:t>
      </w:r>
      <w:r w:rsidRPr="00367C86">
        <w:rPr>
          <w:rFonts w:ascii="Arial" w:hAnsi="Arial" w:cs="Arial"/>
          <w:i/>
          <w:iCs/>
          <w:sz w:val="20"/>
          <w:szCs w:val="20"/>
        </w:rPr>
        <w:t xml:space="preserve">, différents effets biologiques chez l’homme et chez l’animal. Par ailleurs, certaines publications évoquent une </w:t>
      </w:r>
      <w:r w:rsidRPr="00367C86">
        <w:rPr>
          <w:rFonts w:ascii="Arial" w:hAnsi="Arial" w:cs="Arial"/>
          <w:bCs/>
          <w:i/>
          <w:iCs/>
          <w:sz w:val="20"/>
          <w:szCs w:val="20"/>
        </w:rPr>
        <w:t>possible augmentation du risque de tumeur cérébrale</w:t>
      </w:r>
      <w:r w:rsidRPr="00367C86">
        <w:rPr>
          <w:rFonts w:ascii="Arial" w:hAnsi="Arial" w:cs="Arial"/>
          <w:i/>
          <w:iCs/>
          <w:sz w:val="20"/>
          <w:szCs w:val="20"/>
        </w:rPr>
        <w:t xml:space="preserve"> sur le long terme pour les utilisateurs intensifs* des téléphones portables</w:t>
      </w:r>
      <w:r w:rsidRPr="00367C86">
        <w:rPr>
          <w:rFonts w:ascii="Arial" w:hAnsi="Arial" w:cs="Arial"/>
          <w:sz w:val="20"/>
          <w:szCs w:val="20"/>
        </w:rPr>
        <w:t> »</w:t>
      </w:r>
    </w:p>
    <w:p w:rsidR="001B1EDF" w:rsidRPr="00367C86" w:rsidRDefault="001B1EDF" w:rsidP="00367C86">
      <w:pPr>
        <w:ind w:left="0" w:firstLine="0"/>
        <w:rPr>
          <w:rFonts w:ascii="Arial" w:hAnsi="Arial" w:cs="Arial"/>
          <w:sz w:val="20"/>
          <w:szCs w:val="20"/>
        </w:rPr>
      </w:pPr>
      <w:r w:rsidRPr="00367C86">
        <w:rPr>
          <w:rFonts w:ascii="Arial" w:hAnsi="Arial" w:cs="Arial"/>
          <w:sz w:val="20"/>
          <w:szCs w:val="20"/>
        </w:rPr>
        <w:t>Un grand quot</w:t>
      </w:r>
      <w:r w:rsidR="00676C10" w:rsidRPr="00367C86">
        <w:rPr>
          <w:rFonts w:ascii="Arial" w:hAnsi="Arial" w:cs="Arial"/>
          <w:sz w:val="20"/>
          <w:szCs w:val="20"/>
        </w:rPr>
        <w:t xml:space="preserve">idien national avait titré </w:t>
      </w:r>
      <w:r w:rsidRPr="00367C86">
        <w:rPr>
          <w:rFonts w:ascii="Arial" w:hAnsi="Arial" w:cs="Arial"/>
          <w:sz w:val="20"/>
          <w:szCs w:val="20"/>
        </w:rPr>
        <w:t>en Une : « Pas d’effets avérés des radiofréquences ».</w:t>
      </w:r>
    </w:p>
    <w:p w:rsidR="001B1EDF" w:rsidRPr="00367C86" w:rsidRDefault="001B1EDF" w:rsidP="00367C86">
      <w:pPr>
        <w:ind w:left="0" w:firstLine="0"/>
        <w:rPr>
          <w:rFonts w:ascii="Arial" w:hAnsi="Arial" w:cs="Arial"/>
          <w:sz w:val="20"/>
          <w:szCs w:val="20"/>
        </w:rPr>
      </w:pPr>
    </w:p>
    <w:p w:rsidR="001B1EDF" w:rsidRPr="00367C86" w:rsidRDefault="001B1EDF" w:rsidP="00367C86">
      <w:pPr>
        <w:ind w:left="0" w:firstLine="0"/>
        <w:rPr>
          <w:rFonts w:ascii="Arial" w:hAnsi="Arial" w:cs="Arial"/>
          <w:sz w:val="20"/>
          <w:szCs w:val="20"/>
        </w:rPr>
      </w:pPr>
      <w:r w:rsidRPr="00367C86">
        <w:rPr>
          <w:rFonts w:ascii="Arial" w:hAnsi="Arial" w:cs="Arial"/>
          <w:sz w:val="20"/>
          <w:szCs w:val="20"/>
        </w:rPr>
        <w:t xml:space="preserve">De même, à la parution du rapport ANSES 2021 sur la 5G qui notait l’absence de données suffisantes pour conclure sur l’existence ou </w:t>
      </w:r>
      <w:r w:rsidR="00676C10" w:rsidRPr="00367C86">
        <w:rPr>
          <w:rFonts w:ascii="Arial" w:hAnsi="Arial" w:cs="Arial"/>
          <w:sz w:val="20"/>
          <w:szCs w:val="20"/>
        </w:rPr>
        <w:t xml:space="preserve">non </w:t>
      </w:r>
      <w:r w:rsidRPr="00367C86">
        <w:rPr>
          <w:rFonts w:ascii="Arial" w:hAnsi="Arial" w:cs="Arial"/>
          <w:sz w:val="20"/>
          <w:szCs w:val="20"/>
        </w:rPr>
        <w:t>d’effets sanitaires pour la bande de fréquences 26 GHz (et recommandait de suivre l’évolution de l’exposition de la population),</w:t>
      </w:r>
    </w:p>
    <w:p w:rsidR="001B1EDF" w:rsidRPr="00367C86" w:rsidRDefault="001B1EDF" w:rsidP="00367C86">
      <w:pPr>
        <w:ind w:left="0" w:firstLine="0"/>
        <w:rPr>
          <w:rFonts w:ascii="Arial" w:hAnsi="Arial" w:cs="Arial"/>
          <w:sz w:val="20"/>
          <w:szCs w:val="20"/>
        </w:rPr>
      </w:pPr>
      <w:r w:rsidRPr="00367C86">
        <w:rPr>
          <w:rFonts w:ascii="Arial" w:hAnsi="Arial" w:cs="Arial"/>
          <w:sz w:val="20"/>
          <w:szCs w:val="20"/>
        </w:rPr>
        <w:t xml:space="preserve">Les médias avaient diffusé l’information : « 5G, pas de risque nouveau ». </w:t>
      </w:r>
    </w:p>
    <w:p w:rsidR="00676C10" w:rsidRPr="00367C86" w:rsidRDefault="00676C10" w:rsidP="00367C86">
      <w:pPr>
        <w:ind w:left="0" w:firstLine="0"/>
        <w:rPr>
          <w:rFonts w:ascii="Arial" w:hAnsi="Arial" w:cs="Arial"/>
          <w:sz w:val="20"/>
          <w:szCs w:val="20"/>
        </w:rPr>
      </w:pPr>
    </w:p>
    <w:p w:rsidR="00676C10" w:rsidRPr="00367C86" w:rsidRDefault="00676C10" w:rsidP="00367C86">
      <w:pPr>
        <w:ind w:left="0" w:firstLine="0"/>
        <w:rPr>
          <w:rFonts w:ascii="Arial" w:hAnsi="Arial" w:cs="Arial"/>
          <w:sz w:val="20"/>
          <w:szCs w:val="20"/>
        </w:rPr>
      </w:pPr>
      <w:r w:rsidRPr="00367C86">
        <w:rPr>
          <w:rFonts w:ascii="Arial" w:hAnsi="Arial" w:cs="Arial"/>
          <w:sz w:val="20"/>
          <w:szCs w:val="20"/>
        </w:rPr>
        <w:t xml:space="preserve">Il serait intéressant de faire une lecture analytique de « Qui a dit quoi » </w:t>
      </w:r>
      <w:r w:rsidR="001A3510" w:rsidRPr="00367C86">
        <w:rPr>
          <w:rFonts w:ascii="Arial" w:hAnsi="Arial" w:cs="Arial"/>
          <w:sz w:val="20"/>
          <w:szCs w:val="20"/>
        </w:rPr>
        <w:t xml:space="preserve">à propos de chaque rapport </w:t>
      </w:r>
      <w:r w:rsidRPr="00367C86">
        <w:rPr>
          <w:rFonts w:ascii="Arial" w:hAnsi="Arial" w:cs="Arial"/>
          <w:sz w:val="20"/>
          <w:szCs w:val="20"/>
        </w:rPr>
        <w:t>en croisant les corpus collectés avec la carte ACRIMED</w:t>
      </w:r>
      <w:r w:rsidRPr="00367C86">
        <w:rPr>
          <w:rStyle w:val="Appelnotedebasdep"/>
          <w:rFonts w:ascii="Arial" w:hAnsi="Arial" w:cs="Arial"/>
          <w:sz w:val="20"/>
          <w:szCs w:val="20"/>
        </w:rPr>
        <w:footnoteReference w:id="76"/>
      </w:r>
      <w:r w:rsidRPr="00367C86">
        <w:rPr>
          <w:rFonts w:ascii="Arial" w:hAnsi="Arial" w:cs="Arial"/>
          <w:sz w:val="20"/>
          <w:szCs w:val="20"/>
        </w:rPr>
        <w:t xml:space="preserve"> « Médias français, qui possède quoi ? ».</w:t>
      </w:r>
    </w:p>
    <w:p w:rsidR="00A8121D" w:rsidRPr="00367C86" w:rsidRDefault="00A8121D" w:rsidP="00367C86">
      <w:pPr>
        <w:ind w:left="0" w:firstLine="0"/>
        <w:rPr>
          <w:rFonts w:ascii="Arial" w:hAnsi="Arial" w:cs="Arial"/>
          <w:sz w:val="20"/>
          <w:szCs w:val="20"/>
        </w:rPr>
      </w:pPr>
    </w:p>
    <w:p w:rsidR="00A8121D" w:rsidRPr="00367C86" w:rsidRDefault="00A1156C" w:rsidP="009F3BB0">
      <w:pPr>
        <w:pStyle w:val="Paragraphedeliste"/>
        <w:numPr>
          <w:ilvl w:val="0"/>
          <w:numId w:val="18"/>
        </w:numPr>
        <w:rPr>
          <w:rFonts w:ascii="Arial" w:hAnsi="Arial" w:cs="Arial"/>
          <w:sz w:val="20"/>
          <w:szCs w:val="20"/>
        </w:rPr>
      </w:pPr>
      <w:r w:rsidRPr="00367C86">
        <w:rPr>
          <w:rFonts w:ascii="Arial" w:hAnsi="Arial" w:cs="Arial"/>
          <w:sz w:val="20"/>
          <w:szCs w:val="20"/>
        </w:rPr>
        <w:t>Contexte réglementaire</w:t>
      </w:r>
      <w:r w:rsidR="00A8121D" w:rsidRPr="00367C86">
        <w:rPr>
          <w:rFonts w:ascii="Arial" w:hAnsi="Arial" w:cs="Arial"/>
          <w:sz w:val="20"/>
          <w:szCs w:val="20"/>
        </w:rPr>
        <w:t> :</w:t>
      </w:r>
    </w:p>
    <w:p w:rsidR="00A8121D" w:rsidRPr="00367C86" w:rsidRDefault="00A8121D" w:rsidP="00367C86">
      <w:pPr>
        <w:rPr>
          <w:rFonts w:ascii="Arial" w:hAnsi="Arial" w:cs="Arial"/>
          <w:sz w:val="20"/>
          <w:szCs w:val="20"/>
        </w:rPr>
      </w:pPr>
    </w:p>
    <w:p w:rsidR="00066393" w:rsidRPr="00367C86" w:rsidRDefault="00066393" w:rsidP="009F3BB0">
      <w:pPr>
        <w:pStyle w:val="Paragraphedeliste"/>
        <w:numPr>
          <w:ilvl w:val="0"/>
          <w:numId w:val="21"/>
        </w:numPr>
        <w:rPr>
          <w:rFonts w:ascii="Arial" w:hAnsi="Arial" w:cs="Arial"/>
          <w:sz w:val="20"/>
          <w:szCs w:val="20"/>
        </w:rPr>
      </w:pPr>
      <w:r w:rsidRPr="00367C86">
        <w:rPr>
          <w:rFonts w:ascii="Arial" w:hAnsi="Arial" w:cs="Arial"/>
          <w:sz w:val="20"/>
          <w:szCs w:val="20"/>
        </w:rPr>
        <w:t>Population générale</w:t>
      </w:r>
      <w:r w:rsidR="004A0B78" w:rsidRPr="00367C86">
        <w:rPr>
          <w:rFonts w:ascii="Arial" w:hAnsi="Arial" w:cs="Arial"/>
          <w:sz w:val="20"/>
          <w:szCs w:val="20"/>
        </w:rPr>
        <w:t> :</w:t>
      </w:r>
    </w:p>
    <w:p w:rsidR="00066393" w:rsidRPr="00367C86" w:rsidRDefault="00066393" w:rsidP="00367C86">
      <w:pPr>
        <w:rPr>
          <w:rFonts w:ascii="Arial" w:hAnsi="Arial" w:cs="Arial"/>
          <w:sz w:val="20"/>
          <w:szCs w:val="20"/>
        </w:rPr>
      </w:pPr>
    </w:p>
    <w:p w:rsidR="001A3510" w:rsidRPr="00367C86" w:rsidRDefault="00346BE3" w:rsidP="00367C86">
      <w:pPr>
        <w:ind w:left="0" w:firstLine="360"/>
        <w:rPr>
          <w:rFonts w:ascii="Arial" w:hAnsi="Arial" w:cs="Arial"/>
          <w:sz w:val="20"/>
          <w:szCs w:val="20"/>
        </w:rPr>
      </w:pPr>
      <w:r w:rsidRPr="00367C86">
        <w:rPr>
          <w:rFonts w:ascii="Arial" w:hAnsi="Arial" w:cs="Arial"/>
          <w:sz w:val="20"/>
          <w:szCs w:val="20"/>
        </w:rPr>
        <w:t>Pourquoi édicter des n</w:t>
      </w:r>
      <w:r w:rsidR="00244859" w:rsidRPr="00367C86">
        <w:rPr>
          <w:rFonts w:ascii="Arial" w:hAnsi="Arial" w:cs="Arial"/>
          <w:sz w:val="20"/>
          <w:szCs w:val="20"/>
        </w:rPr>
        <w:t>ormes en l’absence de danger ? Car i</w:t>
      </w:r>
      <w:r w:rsidRPr="00367C86">
        <w:rPr>
          <w:rFonts w:ascii="Arial" w:hAnsi="Arial" w:cs="Arial"/>
          <w:sz w:val="20"/>
          <w:szCs w:val="20"/>
        </w:rPr>
        <w:t xml:space="preserve">l existe en effet </w:t>
      </w:r>
      <w:r w:rsidR="00A1156C" w:rsidRPr="00367C86">
        <w:rPr>
          <w:rFonts w:ascii="Arial" w:hAnsi="Arial" w:cs="Arial"/>
          <w:sz w:val="20"/>
          <w:szCs w:val="20"/>
        </w:rPr>
        <w:t xml:space="preserve">des normes pour encadrer l’exposition de la </w:t>
      </w:r>
      <w:r w:rsidRPr="00367C86">
        <w:rPr>
          <w:rFonts w:ascii="Arial" w:hAnsi="Arial" w:cs="Arial"/>
          <w:sz w:val="20"/>
          <w:szCs w:val="20"/>
        </w:rPr>
        <w:t xml:space="preserve">population : </w:t>
      </w:r>
      <w:r w:rsidR="00066393" w:rsidRPr="00367C86">
        <w:rPr>
          <w:rFonts w:ascii="Arial" w:hAnsi="Arial" w:cs="Arial"/>
          <w:sz w:val="20"/>
          <w:szCs w:val="20"/>
        </w:rPr>
        <w:t>une gestion du sujet est en plac</w:t>
      </w:r>
      <w:r w:rsidR="001A3510" w:rsidRPr="00367C86">
        <w:rPr>
          <w:rFonts w:ascii="Arial" w:hAnsi="Arial" w:cs="Arial"/>
          <w:sz w:val="20"/>
          <w:szCs w:val="20"/>
        </w:rPr>
        <w:t>e, faite de recommandations internationales</w:t>
      </w:r>
      <w:r w:rsidRPr="00367C86">
        <w:rPr>
          <w:rFonts w:ascii="Arial" w:hAnsi="Arial" w:cs="Arial"/>
          <w:sz w:val="20"/>
          <w:szCs w:val="20"/>
        </w:rPr>
        <w:t xml:space="preserve"> </w:t>
      </w:r>
      <w:r w:rsidR="001A3510" w:rsidRPr="00367C86">
        <w:rPr>
          <w:rFonts w:ascii="Arial" w:hAnsi="Arial" w:cs="Arial"/>
          <w:sz w:val="20"/>
          <w:szCs w:val="20"/>
        </w:rPr>
        <w:t>(ou valeurs-guides) et de valeurs-seuils, valeurs limites réglementaires…</w:t>
      </w:r>
    </w:p>
    <w:p w:rsidR="007631F3" w:rsidRPr="00367C86" w:rsidRDefault="007631F3" w:rsidP="00367C86">
      <w:pPr>
        <w:ind w:left="0" w:firstLine="708"/>
        <w:rPr>
          <w:rFonts w:ascii="Arial" w:hAnsi="Arial" w:cs="Arial"/>
          <w:sz w:val="20"/>
          <w:szCs w:val="20"/>
        </w:rPr>
      </w:pPr>
      <w:r w:rsidRPr="00367C86">
        <w:rPr>
          <w:rFonts w:ascii="Arial" w:hAnsi="Arial" w:cs="Arial"/>
          <w:sz w:val="20"/>
          <w:szCs w:val="20"/>
        </w:rPr>
        <w:t xml:space="preserve">D’après la comparaison </w:t>
      </w:r>
      <w:r w:rsidR="00A1156C" w:rsidRPr="00367C86">
        <w:rPr>
          <w:rFonts w:ascii="Arial" w:hAnsi="Arial" w:cs="Arial"/>
          <w:sz w:val="20"/>
          <w:szCs w:val="20"/>
        </w:rPr>
        <w:t xml:space="preserve">des valeurs-limites d’exposition </w:t>
      </w:r>
      <w:r w:rsidRPr="00367C86">
        <w:rPr>
          <w:rFonts w:ascii="Arial" w:hAnsi="Arial" w:cs="Arial"/>
          <w:sz w:val="20"/>
          <w:szCs w:val="20"/>
        </w:rPr>
        <w:t xml:space="preserve">par pays (annexe 25), </w:t>
      </w:r>
      <w:r w:rsidR="00A1156C" w:rsidRPr="00367C86">
        <w:rPr>
          <w:rFonts w:ascii="Arial" w:hAnsi="Arial" w:cs="Arial"/>
          <w:sz w:val="20"/>
          <w:szCs w:val="20"/>
        </w:rPr>
        <w:t>la Fran</w:t>
      </w:r>
      <w:r w:rsidRPr="00367C86">
        <w:rPr>
          <w:rFonts w:ascii="Arial" w:hAnsi="Arial" w:cs="Arial"/>
          <w:sz w:val="20"/>
          <w:szCs w:val="20"/>
        </w:rPr>
        <w:t xml:space="preserve">ce n’est pas le pays </w:t>
      </w:r>
      <w:r w:rsidR="00A1156C" w:rsidRPr="00367C86">
        <w:rPr>
          <w:rFonts w:ascii="Arial" w:hAnsi="Arial" w:cs="Arial"/>
          <w:sz w:val="20"/>
          <w:szCs w:val="20"/>
        </w:rPr>
        <w:t>le pl</w:t>
      </w:r>
      <w:r w:rsidR="00CE4284" w:rsidRPr="00367C86">
        <w:rPr>
          <w:rFonts w:ascii="Arial" w:hAnsi="Arial" w:cs="Arial"/>
          <w:sz w:val="20"/>
          <w:szCs w:val="20"/>
        </w:rPr>
        <w:t>us protecteur de sa population. Chaque pays fi</w:t>
      </w:r>
      <w:r w:rsidR="001A3510" w:rsidRPr="00367C86">
        <w:rPr>
          <w:rFonts w:ascii="Arial" w:hAnsi="Arial" w:cs="Arial"/>
          <w:sz w:val="20"/>
          <w:szCs w:val="20"/>
        </w:rPr>
        <w:t xml:space="preserve">xe </w:t>
      </w:r>
      <w:r w:rsidR="00346BE3" w:rsidRPr="00367C86">
        <w:rPr>
          <w:rFonts w:ascii="Arial" w:hAnsi="Arial" w:cs="Arial"/>
          <w:sz w:val="20"/>
          <w:szCs w:val="20"/>
        </w:rPr>
        <w:t xml:space="preserve">réglementairement ses propres valeurs-limites. Toutefois, </w:t>
      </w:r>
      <w:r w:rsidR="00CE4284" w:rsidRPr="00367C86">
        <w:rPr>
          <w:rFonts w:ascii="Arial" w:hAnsi="Arial" w:cs="Arial"/>
          <w:sz w:val="20"/>
          <w:szCs w:val="20"/>
        </w:rPr>
        <w:t>un organisme international, l’ICNIRP</w:t>
      </w:r>
      <w:r w:rsidR="00CE4284" w:rsidRPr="00367C86">
        <w:rPr>
          <w:rStyle w:val="Appelnotedebasdep"/>
          <w:rFonts w:ascii="Arial" w:hAnsi="Arial" w:cs="Arial"/>
          <w:sz w:val="20"/>
          <w:szCs w:val="20"/>
        </w:rPr>
        <w:footnoteReference w:id="77"/>
      </w:r>
      <w:r w:rsidR="00CE4284" w:rsidRPr="00367C86">
        <w:rPr>
          <w:rFonts w:ascii="Arial" w:hAnsi="Arial" w:cs="Arial"/>
          <w:sz w:val="20"/>
          <w:szCs w:val="20"/>
        </w:rPr>
        <w:t>, émet des r</w:t>
      </w:r>
      <w:r w:rsidR="00346BE3" w:rsidRPr="00367C86">
        <w:rPr>
          <w:rFonts w:ascii="Arial" w:hAnsi="Arial" w:cs="Arial"/>
          <w:sz w:val="20"/>
          <w:szCs w:val="20"/>
        </w:rPr>
        <w:t>ecommandations (valeu</w:t>
      </w:r>
      <w:r w:rsidR="00BB6269" w:rsidRPr="00367C86">
        <w:rPr>
          <w:rFonts w:ascii="Arial" w:hAnsi="Arial" w:cs="Arial"/>
          <w:sz w:val="20"/>
          <w:szCs w:val="20"/>
        </w:rPr>
        <w:t xml:space="preserve">rs-guides), reprises par l’OMS </w:t>
      </w:r>
      <w:r w:rsidR="00346BE3" w:rsidRPr="00367C86">
        <w:rPr>
          <w:rFonts w:ascii="Arial" w:hAnsi="Arial" w:cs="Arial"/>
          <w:sz w:val="20"/>
          <w:szCs w:val="20"/>
        </w:rPr>
        <w:t>et</w:t>
      </w:r>
      <w:r w:rsidR="00BB6269" w:rsidRPr="00367C86">
        <w:rPr>
          <w:rFonts w:ascii="Arial" w:hAnsi="Arial" w:cs="Arial"/>
          <w:sz w:val="20"/>
          <w:szCs w:val="20"/>
        </w:rPr>
        <w:t xml:space="preserve"> donc</w:t>
      </w:r>
      <w:r w:rsidR="00346BE3" w:rsidRPr="00367C86">
        <w:rPr>
          <w:rFonts w:ascii="Arial" w:hAnsi="Arial" w:cs="Arial"/>
          <w:sz w:val="20"/>
          <w:szCs w:val="20"/>
        </w:rPr>
        <w:t xml:space="preserve"> suivies par </w:t>
      </w:r>
      <w:r w:rsidR="0064344A" w:rsidRPr="00367C86">
        <w:rPr>
          <w:rFonts w:ascii="Arial" w:hAnsi="Arial" w:cs="Arial"/>
          <w:sz w:val="20"/>
          <w:szCs w:val="20"/>
        </w:rPr>
        <w:t xml:space="preserve">plusieurs </w:t>
      </w:r>
      <w:r w:rsidR="00CE4284" w:rsidRPr="00367C86">
        <w:rPr>
          <w:rFonts w:ascii="Arial" w:hAnsi="Arial" w:cs="Arial"/>
          <w:sz w:val="20"/>
          <w:szCs w:val="20"/>
        </w:rPr>
        <w:t xml:space="preserve">pays européens, dont </w:t>
      </w:r>
      <w:r w:rsidR="00346BE3" w:rsidRPr="00367C86">
        <w:rPr>
          <w:rFonts w:ascii="Arial" w:hAnsi="Arial" w:cs="Arial"/>
          <w:sz w:val="20"/>
          <w:szCs w:val="20"/>
        </w:rPr>
        <w:t>la France</w:t>
      </w:r>
      <w:r w:rsidR="00CE4284" w:rsidRPr="00367C86">
        <w:rPr>
          <w:rFonts w:ascii="Arial" w:hAnsi="Arial" w:cs="Arial"/>
          <w:sz w:val="20"/>
          <w:szCs w:val="20"/>
        </w:rPr>
        <w:t xml:space="preserve">. </w:t>
      </w:r>
      <w:r w:rsidR="004260BF" w:rsidRPr="00367C86">
        <w:rPr>
          <w:rFonts w:ascii="Arial" w:hAnsi="Arial" w:cs="Arial"/>
          <w:sz w:val="20"/>
          <w:szCs w:val="20"/>
        </w:rPr>
        <w:t>Il est à noter que l’ICNIRP ne dépend pas de l’OMS, contrairement au CIRC</w:t>
      </w:r>
      <w:r w:rsidR="004260BF" w:rsidRPr="00367C86">
        <w:rPr>
          <w:rStyle w:val="Appelnotedebasdep"/>
          <w:rFonts w:ascii="Arial" w:hAnsi="Arial" w:cs="Arial"/>
          <w:sz w:val="20"/>
          <w:szCs w:val="20"/>
        </w:rPr>
        <w:footnoteReference w:id="78"/>
      </w:r>
      <w:r w:rsidR="004260BF" w:rsidRPr="00367C86">
        <w:rPr>
          <w:rFonts w:ascii="Arial" w:hAnsi="Arial" w:cs="Arial"/>
          <w:sz w:val="20"/>
          <w:szCs w:val="20"/>
        </w:rPr>
        <w:t xml:space="preserve">, et que ce n’est pas non plus une agence d’état, c’est une ONG. Son indépendance est remise en cause </w:t>
      </w:r>
      <w:r w:rsidRPr="00367C86">
        <w:rPr>
          <w:rFonts w:ascii="Arial" w:hAnsi="Arial" w:cs="Arial"/>
          <w:sz w:val="20"/>
          <w:szCs w:val="20"/>
        </w:rPr>
        <w:t xml:space="preserve">par des scientifiques </w:t>
      </w:r>
      <w:r w:rsidR="004260BF" w:rsidRPr="00367C86">
        <w:rPr>
          <w:rFonts w:ascii="Arial" w:hAnsi="Arial" w:cs="Arial"/>
          <w:sz w:val="20"/>
          <w:szCs w:val="20"/>
        </w:rPr>
        <w:t xml:space="preserve">et </w:t>
      </w:r>
      <w:r w:rsidRPr="00367C86">
        <w:rPr>
          <w:rFonts w:ascii="Arial" w:hAnsi="Arial" w:cs="Arial"/>
          <w:sz w:val="20"/>
          <w:szCs w:val="20"/>
        </w:rPr>
        <w:t>la validité de ses travaux est de plus en plus vivement critiquée</w:t>
      </w:r>
      <w:r w:rsidR="00346BE3" w:rsidRPr="00367C86">
        <w:rPr>
          <w:rStyle w:val="Appelnotedebasdep"/>
          <w:rFonts w:ascii="Arial" w:hAnsi="Arial" w:cs="Arial"/>
          <w:sz w:val="20"/>
          <w:szCs w:val="20"/>
        </w:rPr>
        <w:footnoteReference w:id="79"/>
      </w:r>
      <w:r w:rsidRPr="00367C86">
        <w:rPr>
          <w:rFonts w:ascii="Arial" w:hAnsi="Arial" w:cs="Arial"/>
          <w:sz w:val="20"/>
          <w:szCs w:val="20"/>
        </w:rPr>
        <w:t>. P</w:t>
      </w:r>
      <w:r w:rsidR="00346BE3" w:rsidRPr="00367C86">
        <w:rPr>
          <w:rFonts w:ascii="Arial" w:hAnsi="Arial" w:cs="Arial"/>
          <w:sz w:val="20"/>
          <w:szCs w:val="20"/>
        </w:rPr>
        <w:t>ar ricochet, les recommandations de l’OMS le sont également</w:t>
      </w:r>
      <w:r w:rsidR="00346BE3" w:rsidRPr="00367C86">
        <w:rPr>
          <w:rStyle w:val="Appelnotedebasdep"/>
          <w:rFonts w:ascii="Arial" w:hAnsi="Arial" w:cs="Arial"/>
          <w:sz w:val="20"/>
          <w:szCs w:val="20"/>
        </w:rPr>
        <w:footnoteReference w:id="80"/>
      </w:r>
      <w:r w:rsidR="00346BE3" w:rsidRPr="00367C86">
        <w:rPr>
          <w:rFonts w:ascii="Arial" w:hAnsi="Arial" w:cs="Arial"/>
          <w:sz w:val="20"/>
          <w:szCs w:val="20"/>
        </w:rPr>
        <w:t xml:space="preserve">. </w:t>
      </w:r>
    </w:p>
    <w:p w:rsidR="007631F3" w:rsidRPr="00367C86" w:rsidRDefault="007631F3" w:rsidP="00367C86">
      <w:pPr>
        <w:ind w:left="0" w:firstLine="708"/>
        <w:rPr>
          <w:rFonts w:ascii="Arial" w:hAnsi="Arial" w:cs="Arial"/>
          <w:sz w:val="20"/>
          <w:szCs w:val="20"/>
        </w:rPr>
      </w:pPr>
      <w:r w:rsidRPr="00367C86">
        <w:rPr>
          <w:rFonts w:ascii="Arial" w:hAnsi="Arial" w:cs="Arial"/>
          <w:sz w:val="20"/>
          <w:szCs w:val="20"/>
        </w:rPr>
        <w:t xml:space="preserve">La </w:t>
      </w:r>
      <w:r w:rsidRPr="00367C86">
        <w:rPr>
          <w:rStyle w:val="lev"/>
          <w:rFonts w:ascii="Arial" w:hAnsi="Arial" w:cs="Arial"/>
          <w:b w:val="0"/>
          <w:sz w:val="20"/>
          <w:szCs w:val="20"/>
        </w:rPr>
        <w:t>révision des valeurs-guides de l’ICNIRP en 2020</w:t>
      </w:r>
      <w:r w:rsidRPr="00367C86">
        <w:rPr>
          <w:rFonts w:ascii="Arial" w:hAnsi="Arial" w:cs="Arial"/>
          <w:sz w:val="20"/>
          <w:szCs w:val="20"/>
        </w:rPr>
        <w:t xml:space="preserve"> n’est pas allée dans un sens plus protecteur pour la population, introduisant </w:t>
      </w:r>
      <w:r w:rsidRPr="00367C86">
        <w:rPr>
          <w:rStyle w:val="lev"/>
          <w:rFonts w:ascii="Arial" w:hAnsi="Arial" w:cs="Arial"/>
          <w:b w:val="0"/>
          <w:sz w:val="20"/>
          <w:szCs w:val="20"/>
        </w:rPr>
        <w:t>plusieurs hausses significatives</w:t>
      </w:r>
      <w:r w:rsidRPr="00367C86">
        <w:rPr>
          <w:rFonts w:ascii="Arial" w:hAnsi="Arial" w:cs="Arial"/>
          <w:sz w:val="20"/>
          <w:szCs w:val="20"/>
        </w:rPr>
        <w:t xml:space="preserve"> des valeurs-guides, </w:t>
      </w:r>
      <w:r w:rsidRPr="00367C86">
        <w:rPr>
          <w:rStyle w:val="lev"/>
          <w:rFonts w:ascii="Arial" w:hAnsi="Arial" w:cs="Arial"/>
          <w:b w:val="0"/>
          <w:sz w:val="20"/>
          <w:szCs w:val="20"/>
        </w:rPr>
        <w:t>notamment</w:t>
      </w:r>
      <w:r w:rsidRPr="00367C86">
        <w:rPr>
          <w:rStyle w:val="lev"/>
          <w:rFonts w:ascii="Arial" w:hAnsi="Arial" w:cs="Arial"/>
          <w:sz w:val="20"/>
          <w:szCs w:val="20"/>
        </w:rPr>
        <w:t xml:space="preserve"> </w:t>
      </w:r>
      <w:r w:rsidRPr="00367C86">
        <w:rPr>
          <w:rStyle w:val="lev"/>
          <w:rFonts w:ascii="Arial" w:hAnsi="Arial" w:cs="Arial"/>
          <w:b w:val="0"/>
          <w:sz w:val="20"/>
          <w:szCs w:val="20"/>
        </w:rPr>
        <w:t>pour les fréquences supérieures à 2 GHz</w:t>
      </w:r>
      <w:r w:rsidRPr="00367C86">
        <w:rPr>
          <w:rFonts w:ascii="Arial" w:hAnsi="Arial" w:cs="Arial"/>
          <w:sz w:val="20"/>
          <w:szCs w:val="20"/>
        </w:rPr>
        <w:t xml:space="preserve"> (utilisées pour la 4G, la 5G et le Wifi). </w:t>
      </w:r>
      <w:r w:rsidR="00417F84" w:rsidRPr="00367C86">
        <w:rPr>
          <w:rFonts w:ascii="Arial" w:hAnsi="Arial" w:cs="Arial"/>
          <w:sz w:val="20"/>
          <w:szCs w:val="20"/>
        </w:rPr>
        <w:t>Ces valeurs-guides (ou guidelines) sont exclusivement basées sur les effets</w:t>
      </w:r>
      <w:r w:rsidRPr="00367C86">
        <w:rPr>
          <w:rFonts w:ascii="Arial" w:hAnsi="Arial" w:cs="Arial"/>
          <w:sz w:val="20"/>
          <w:szCs w:val="20"/>
        </w:rPr>
        <w:t xml:space="preserve"> thermiques et la valeur seuil maximale admissible de 10 W/m² est établie pour 6 minutes d’exposition. Elle ne prend pas en compte les pics (crêtes) évoqués plus haut.</w:t>
      </w:r>
    </w:p>
    <w:p w:rsidR="00417F84" w:rsidRPr="00367C86" w:rsidRDefault="00417F84" w:rsidP="00367C86">
      <w:pPr>
        <w:ind w:left="0" w:firstLine="708"/>
        <w:rPr>
          <w:rFonts w:ascii="Arial" w:hAnsi="Arial" w:cs="Arial"/>
          <w:sz w:val="20"/>
          <w:szCs w:val="20"/>
        </w:rPr>
      </w:pPr>
    </w:p>
    <w:p w:rsidR="00346BE3" w:rsidRPr="00367C86" w:rsidRDefault="00CE4284" w:rsidP="00367C86">
      <w:pPr>
        <w:ind w:left="0" w:firstLine="0"/>
        <w:rPr>
          <w:rFonts w:ascii="Arial" w:hAnsi="Arial" w:cs="Arial"/>
          <w:sz w:val="20"/>
          <w:szCs w:val="20"/>
        </w:rPr>
      </w:pPr>
      <w:r w:rsidRPr="00367C86">
        <w:rPr>
          <w:rStyle w:val="relative"/>
          <w:rFonts w:ascii="Arial" w:hAnsi="Arial" w:cs="Arial"/>
          <w:sz w:val="20"/>
          <w:szCs w:val="20"/>
        </w:rPr>
        <w:t xml:space="preserve">Certains pays adoptent des limites plus strictes, dont </w:t>
      </w:r>
      <w:r w:rsidRPr="00367C86">
        <w:rPr>
          <w:rFonts w:ascii="Arial" w:hAnsi="Arial" w:cs="Arial"/>
          <w:sz w:val="20"/>
          <w:szCs w:val="20"/>
        </w:rPr>
        <w:t>la Russie qui, pour rappel, a tôt pris en compte les effets « micro-thermiques » et suit ses propres conclusions.</w:t>
      </w:r>
      <w:r w:rsidR="00BB6269" w:rsidRPr="00367C86">
        <w:rPr>
          <w:rFonts w:ascii="Arial" w:hAnsi="Arial" w:cs="Arial"/>
          <w:sz w:val="20"/>
          <w:szCs w:val="20"/>
        </w:rPr>
        <w:t xml:space="preserve"> </w:t>
      </w:r>
    </w:p>
    <w:p w:rsidR="00346BE3" w:rsidRPr="00367C86" w:rsidRDefault="00346BE3" w:rsidP="00367C86">
      <w:pPr>
        <w:ind w:left="0" w:firstLine="0"/>
        <w:rPr>
          <w:rFonts w:ascii="Arial" w:hAnsi="Arial" w:cs="Arial"/>
          <w:sz w:val="20"/>
          <w:szCs w:val="20"/>
        </w:rPr>
      </w:pPr>
    </w:p>
    <w:p w:rsidR="0064344A" w:rsidRPr="00367C86" w:rsidRDefault="00C40EC5" w:rsidP="00367C86">
      <w:pPr>
        <w:ind w:left="0" w:firstLine="0"/>
        <w:rPr>
          <w:rFonts w:ascii="Arial" w:hAnsi="Arial" w:cs="Arial"/>
          <w:sz w:val="20"/>
          <w:szCs w:val="20"/>
        </w:rPr>
      </w:pPr>
      <w:r w:rsidRPr="00367C86">
        <w:rPr>
          <w:rFonts w:ascii="Arial" w:hAnsi="Arial" w:cs="Arial"/>
          <w:sz w:val="20"/>
          <w:szCs w:val="20"/>
        </w:rPr>
        <w:t>Les recommandations de l’ICNIRP ont été intégrées à la réglementation française à travers le décret n° 2002-775 du 3 mai 2002 qui fixe les valeurs limites d’exposition du public</w:t>
      </w:r>
      <w:r w:rsidR="00417F84" w:rsidRPr="00367C86">
        <w:rPr>
          <w:rFonts w:ascii="Arial" w:hAnsi="Arial" w:cs="Arial"/>
          <w:sz w:val="20"/>
          <w:szCs w:val="20"/>
        </w:rPr>
        <w:t xml:space="preserve"> aux champs électromagnétiques : le 3/05/2002, </w:t>
      </w:r>
      <w:r w:rsidR="007631F3" w:rsidRPr="00367C86">
        <w:rPr>
          <w:rFonts w:ascii="Arial" w:hAnsi="Arial" w:cs="Arial"/>
          <w:sz w:val="20"/>
          <w:szCs w:val="20"/>
        </w:rPr>
        <w:t xml:space="preserve">dans l’entre-deux tours des </w:t>
      </w:r>
      <w:r w:rsidR="00417F84" w:rsidRPr="00367C86">
        <w:rPr>
          <w:rFonts w:ascii="Arial" w:hAnsi="Arial" w:cs="Arial"/>
          <w:sz w:val="20"/>
          <w:szCs w:val="20"/>
        </w:rPr>
        <w:t xml:space="preserve">élections </w:t>
      </w:r>
      <w:r w:rsidR="007631F3" w:rsidRPr="00367C86">
        <w:rPr>
          <w:rFonts w:ascii="Arial" w:hAnsi="Arial" w:cs="Arial"/>
          <w:sz w:val="20"/>
          <w:szCs w:val="20"/>
        </w:rPr>
        <w:t>pré</w:t>
      </w:r>
      <w:r w:rsidR="00C00541" w:rsidRPr="00367C86">
        <w:rPr>
          <w:rFonts w:ascii="Arial" w:hAnsi="Arial" w:cs="Arial"/>
          <w:sz w:val="20"/>
          <w:szCs w:val="20"/>
        </w:rPr>
        <w:t>sidentielles avec un candidat d’extrême-droite</w:t>
      </w:r>
      <w:r w:rsidR="007631F3" w:rsidRPr="00367C86">
        <w:rPr>
          <w:rFonts w:ascii="Arial" w:hAnsi="Arial" w:cs="Arial"/>
          <w:sz w:val="20"/>
          <w:szCs w:val="20"/>
        </w:rPr>
        <w:t xml:space="preserve"> au second tour, la France, </w:t>
      </w:r>
      <w:r w:rsidRPr="00367C86">
        <w:rPr>
          <w:rFonts w:ascii="Arial" w:hAnsi="Arial" w:cs="Arial"/>
          <w:sz w:val="20"/>
          <w:szCs w:val="20"/>
        </w:rPr>
        <w:t>société civile comme partis politiques, connaissait alors une situation particulièrement tendue</w:t>
      </w:r>
      <w:r w:rsidR="007631F3" w:rsidRPr="00367C86">
        <w:rPr>
          <w:rFonts w:ascii="Arial" w:hAnsi="Arial" w:cs="Arial"/>
          <w:sz w:val="20"/>
          <w:szCs w:val="20"/>
        </w:rPr>
        <w:t xml:space="preserve"> et regardait ailleurs</w:t>
      </w:r>
      <w:r w:rsidR="00417F84" w:rsidRPr="00367C86">
        <w:rPr>
          <w:rFonts w:ascii="Arial" w:hAnsi="Arial" w:cs="Arial"/>
          <w:sz w:val="20"/>
          <w:szCs w:val="20"/>
        </w:rPr>
        <w:t xml:space="preserve">. </w:t>
      </w:r>
    </w:p>
    <w:p w:rsidR="0064344A" w:rsidRPr="00367C86" w:rsidRDefault="0064344A" w:rsidP="00367C86">
      <w:pPr>
        <w:ind w:left="0" w:firstLine="0"/>
        <w:rPr>
          <w:rStyle w:val="lev"/>
          <w:rFonts w:ascii="Arial" w:hAnsi="Arial" w:cs="Arial"/>
          <w:b w:val="0"/>
          <w:sz w:val="20"/>
          <w:szCs w:val="20"/>
        </w:rPr>
      </w:pPr>
    </w:p>
    <w:p w:rsidR="0064344A" w:rsidRPr="00367C86" w:rsidRDefault="0022673D" w:rsidP="00367C86">
      <w:pPr>
        <w:pStyle w:val="Paragraphedeliste"/>
        <w:ind w:left="0" w:firstLine="708"/>
        <w:rPr>
          <w:rFonts w:ascii="Arial" w:hAnsi="Arial" w:cs="Arial"/>
          <w:sz w:val="20"/>
          <w:szCs w:val="20"/>
        </w:rPr>
      </w:pPr>
      <w:r w:rsidRPr="00367C86">
        <w:rPr>
          <w:rStyle w:val="lev"/>
          <w:rFonts w:ascii="Arial" w:hAnsi="Arial" w:cs="Arial"/>
          <w:b w:val="0"/>
          <w:bCs w:val="0"/>
          <w:sz w:val="20"/>
          <w:szCs w:val="20"/>
        </w:rPr>
        <w:t xml:space="preserve">- </w:t>
      </w:r>
      <w:r w:rsidR="0064344A" w:rsidRPr="00367C86">
        <w:rPr>
          <w:rStyle w:val="lev"/>
          <w:rFonts w:ascii="Arial" w:hAnsi="Arial" w:cs="Arial"/>
          <w:b w:val="0"/>
          <w:bCs w:val="0"/>
          <w:sz w:val="20"/>
          <w:szCs w:val="20"/>
        </w:rPr>
        <w:t xml:space="preserve">loi </w:t>
      </w:r>
      <w:r w:rsidR="0064344A" w:rsidRPr="00367C86">
        <w:rPr>
          <w:rFonts w:ascii="Arial" w:hAnsi="Arial" w:cs="Arial"/>
          <w:sz w:val="20"/>
          <w:szCs w:val="20"/>
        </w:rPr>
        <w:t xml:space="preserve">n° 2015-136 du 9 février 2015 </w:t>
      </w:r>
      <w:r w:rsidRPr="00367C86">
        <w:rPr>
          <w:rFonts w:ascii="Arial" w:hAnsi="Arial" w:cs="Arial"/>
          <w:sz w:val="20"/>
          <w:szCs w:val="20"/>
        </w:rPr>
        <w:t>« </w:t>
      </w:r>
      <w:r w:rsidR="0064344A" w:rsidRPr="00367C86">
        <w:rPr>
          <w:rFonts w:ascii="Arial" w:hAnsi="Arial" w:cs="Arial"/>
          <w:sz w:val="20"/>
          <w:szCs w:val="20"/>
        </w:rPr>
        <w:t>relative à la sobriété, à la transparence, à l'information et à la concertation en matière d'exposition aux ondes électromagnétiques</w:t>
      </w:r>
      <w:r w:rsidRPr="00367C86">
        <w:rPr>
          <w:rFonts w:ascii="Arial" w:hAnsi="Arial" w:cs="Arial"/>
          <w:sz w:val="20"/>
          <w:szCs w:val="20"/>
        </w:rPr>
        <w:t> »</w:t>
      </w:r>
      <w:r w:rsidR="0064344A" w:rsidRPr="00367C86">
        <w:rPr>
          <w:rFonts w:ascii="Arial" w:hAnsi="Arial" w:cs="Arial"/>
          <w:sz w:val="20"/>
          <w:szCs w:val="20"/>
        </w:rPr>
        <w:t>, dite loi Abeille, du nom de la députée qui l’</w:t>
      </w:r>
      <w:r w:rsidRPr="00367C86">
        <w:rPr>
          <w:rFonts w:ascii="Arial" w:hAnsi="Arial" w:cs="Arial"/>
          <w:sz w:val="20"/>
          <w:szCs w:val="20"/>
        </w:rPr>
        <w:t>a portée : s</w:t>
      </w:r>
      <w:r w:rsidR="000A78A9" w:rsidRPr="00367C86">
        <w:rPr>
          <w:rFonts w:ascii="Arial" w:hAnsi="Arial" w:cs="Arial"/>
          <w:sz w:val="20"/>
          <w:szCs w:val="20"/>
        </w:rPr>
        <w:t>i elle a permis une meilleure information auprès des</w:t>
      </w:r>
      <w:r w:rsidR="0064344A" w:rsidRPr="00367C86">
        <w:rPr>
          <w:rFonts w:ascii="Arial" w:hAnsi="Arial" w:cs="Arial"/>
          <w:sz w:val="20"/>
          <w:szCs w:val="20"/>
        </w:rPr>
        <w:t xml:space="preserve"> citoyen.ne.s via l’instauration d’</w:t>
      </w:r>
      <w:r w:rsidR="004A0132" w:rsidRPr="00367C86">
        <w:rPr>
          <w:rFonts w:ascii="Arial" w:hAnsi="Arial" w:cs="Arial"/>
          <w:sz w:val="20"/>
          <w:szCs w:val="20"/>
        </w:rPr>
        <w:t>un D</w:t>
      </w:r>
      <w:r w:rsidR="0064344A" w:rsidRPr="00367C86">
        <w:rPr>
          <w:rFonts w:ascii="Arial" w:hAnsi="Arial" w:cs="Arial"/>
          <w:sz w:val="20"/>
          <w:szCs w:val="20"/>
        </w:rPr>
        <w:t>ossier d’</w:t>
      </w:r>
      <w:r w:rsidR="004A0132" w:rsidRPr="00367C86">
        <w:rPr>
          <w:rFonts w:ascii="Arial" w:hAnsi="Arial" w:cs="Arial"/>
          <w:sz w:val="20"/>
          <w:szCs w:val="20"/>
        </w:rPr>
        <w:t>I</w:t>
      </w:r>
      <w:r w:rsidR="0064344A" w:rsidRPr="00367C86">
        <w:rPr>
          <w:rFonts w:ascii="Arial" w:hAnsi="Arial" w:cs="Arial"/>
          <w:sz w:val="20"/>
          <w:szCs w:val="20"/>
        </w:rPr>
        <w:t>nformation Mairie</w:t>
      </w:r>
      <w:r w:rsidR="000A78A9" w:rsidRPr="00367C86">
        <w:rPr>
          <w:rFonts w:ascii="Arial" w:hAnsi="Arial" w:cs="Arial"/>
          <w:sz w:val="20"/>
          <w:szCs w:val="20"/>
        </w:rPr>
        <w:t>, interdit le wifi dans les crèches et créé le recensement annuel des points atypiques, l’examen préalable du texte en commission des affaires économiques en a limité la portée </w:t>
      </w:r>
      <w:r w:rsidRPr="00367C86">
        <w:rPr>
          <w:rFonts w:ascii="Arial" w:hAnsi="Arial" w:cs="Arial"/>
          <w:sz w:val="20"/>
          <w:szCs w:val="20"/>
        </w:rPr>
        <w:t>(</w:t>
      </w:r>
      <w:r w:rsidR="000A78A9" w:rsidRPr="00367C86">
        <w:rPr>
          <w:rFonts w:ascii="Arial" w:hAnsi="Arial" w:cs="Arial"/>
          <w:sz w:val="20"/>
          <w:szCs w:val="20"/>
        </w:rPr>
        <w:t xml:space="preserve">le principe de sobriété n’est pas quantifié, </w:t>
      </w:r>
      <w:r w:rsidRPr="00367C86">
        <w:rPr>
          <w:rFonts w:ascii="Arial" w:hAnsi="Arial" w:cs="Arial"/>
          <w:sz w:val="20"/>
          <w:szCs w:val="20"/>
        </w:rPr>
        <w:t>l’interdiction de publicité pour les appareils radioélectriques à l’attention des enfants de moins de 14 ans a été limitée aux téléphones portables</w:t>
      </w:r>
      <w:r w:rsidRPr="00367C86">
        <w:rPr>
          <w:rStyle w:val="Appelnotedebasdep"/>
          <w:rFonts w:ascii="Arial" w:hAnsi="Arial" w:cs="Arial"/>
          <w:sz w:val="20"/>
          <w:szCs w:val="20"/>
        </w:rPr>
        <w:footnoteReference w:id="81"/>
      </w:r>
      <w:r w:rsidRPr="00367C86">
        <w:rPr>
          <w:rFonts w:ascii="Arial" w:hAnsi="Arial" w:cs="Arial"/>
          <w:sz w:val="20"/>
          <w:szCs w:val="20"/>
        </w:rPr>
        <w:t xml:space="preserve">, </w:t>
      </w:r>
      <w:r w:rsidR="000A78A9" w:rsidRPr="00367C86">
        <w:rPr>
          <w:rFonts w:ascii="Arial" w:hAnsi="Arial" w:cs="Arial"/>
          <w:sz w:val="20"/>
          <w:szCs w:val="20"/>
        </w:rPr>
        <w:t>et l’interdiction du wifi initialement prévue également pour les écoles maternelles a été retirée</w:t>
      </w:r>
      <w:r w:rsidRPr="00367C86">
        <w:rPr>
          <w:rFonts w:ascii="Arial" w:hAnsi="Arial" w:cs="Arial"/>
          <w:sz w:val="20"/>
          <w:szCs w:val="20"/>
        </w:rPr>
        <w:t>). Les valeurs-limites réglementaires n’ont pas été abaissées, il faut toutefois saluer cette intiative pour plus de transparence et de concertation.</w:t>
      </w:r>
    </w:p>
    <w:p w:rsidR="00831E1F" w:rsidRPr="00367C86" w:rsidRDefault="00831E1F" w:rsidP="00367C86">
      <w:pPr>
        <w:pStyle w:val="Paragraphedeliste"/>
        <w:ind w:left="0" w:firstLine="708"/>
        <w:rPr>
          <w:rFonts w:ascii="Arial" w:hAnsi="Arial" w:cs="Arial"/>
          <w:sz w:val="20"/>
          <w:szCs w:val="20"/>
        </w:rPr>
      </w:pPr>
    </w:p>
    <w:p w:rsidR="00066393" w:rsidRPr="00367C86" w:rsidRDefault="004A0B78" w:rsidP="009F3BB0">
      <w:pPr>
        <w:pStyle w:val="Paragraphedeliste"/>
        <w:numPr>
          <w:ilvl w:val="0"/>
          <w:numId w:val="21"/>
        </w:numPr>
        <w:rPr>
          <w:rFonts w:ascii="Arial" w:hAnsi="Arial" w:cs="Arial"/>
          <w:sz w:val="20"/>
          <w:szCs w:val="20"/>
        </w:rPr>
      </w:pPr>
      <w:r w:rsidRPr="00367C86">
        <w:rPr>
          <w:rFonts w:ascii="Arial" w:hAnsi="Arial" w:cs="Arial"/>
          <w:sz w:val="20"/>
          <w:szCs w:val="20"/>
        </w:rPr>
        <w:t>S</w:t>
      </w:r>
      <w:r w:rsidR="00066393" w:rsidRPr="00367C86">
        <w:rPr>
          <w:rFonts w:ascii="Arial" w:hAnsi="Arial" w:cs="Arial"/>
          <w:sz w:val="20"/>
          <w:szCs w:val="20"/>
        </w:rPr>
        <w:t>alariés</w:t>
      </w:r>
      <w:r w:rsidR="00C40EC5" w:rsidRPr="00367C86">
        <w:rPr>
          <w:rFonts w:ascii="Arial" w:hAnsi="Arial" w:cs="Arial"/>
          <w:sz w:val="20"/>
          <w:szCs w:val="20"/>
        </w:rPr>
        <w:t> :</w:t>
      </w:r>
    </w:p>
    <w:p w:rsidR="006977FF" w:rsidRPr="00367C86" w:rsidRDefault="006977FF" w:rsidP="00367C86">
      <w:pPr>
        <w:ind w:left="0" w:firstLine="0"/>
        <w:rPr>
          <w:rFonts w:ascii="Arial" w:hAnsi="Arial" w:cs="Arial"/>
          <w:sz w:val="20"/>
          <w:szCs w:val="20"/>
        </w:rPr>
      </w:pPr>
    </w:p>
    <w:p w:rsidR="00A23D9C" w:rsidRPr="00367C86" w:rsidRDefault="00831E1F" w:rsidP="00367C86">
      <w:pPr>
        <w:ind w:left="0" w:firstLine="708"/>
        <w:rPr>
          <w:rFonts w:ascii="Arial" w:hAnsi="Arial" w:cs="Arial"/>
          <w:sz w:val="20"/>
          <w:szCs w:val="20"/>
        </w:rPr>
      </w:pPr>
      <w:r w:rsidRPr="00367C86">
        <w:rPr>
          <w:rFonts w:ascii="Arial" w:hAnsi="Arial" w:cs="Arial"/>
          <w:sz w:val="20"/>
          <w:szCs w:val="20"/>
        </w:rPr>
        <w:t xml:space="preserve">- </w:t>
      </w:r>
      <w:r w:rsidR="00C602E9" w:rsidRPr="00367C86">
        <w:rPr>
          <w:rFonts w:ascii="Arial" w:hAnsi="Arial" w:cs="Arial"/>
          <w:sz w:val="20"/>
          <w:szCs w:val="20"/>
        </w:rPr>
        <w:t>Le Décret n° 2016-1074 du 3 août 2016 relatif à la protection des travailleurs contre les risques dus aux champs électromagnétiques</w:t>
      </w:r>
      <w:r w:rsidR="00C602E9" w:rsidRPr="00367C86">
        <w:rPr>
          <w:rStyle w:val="Appelnotedebasdep"/>
          <w:rFonts w:ascii="Arial" w:hAnsi="Arial" w:cs="Arial"/>
          <w:sz w:val="20"/>
          <w:szCs w:val="20"/>
        </w:rPr>
        <w:footnoteReference w:id="82"/>
      </w:r>
      <w:r w:rsidR="0022673D" w:rsidRPr="00367C86">
        <w:rPr>
          <w:rFonts w:ascii="Arial" w:hAnsi="Arial" w:cs="Arial"/>
          <w:sz w:val="20"/>
          <w:szCs w:val="20"/>
        </w:rPr>
        <w:t xml:space="preserve"> </w:t>
      </w:r>
      <w:r w:rsidR="00762146" w:rsidRPr="00367C86">
        <w:rPr>
          <w:rFonts w:ascii="Arial" w:hAnsi="Arial" w:cs="Arial"/>
          <w:sz w:val="20"/>
          <w:szCs w:val="20"/>
        </w:rPr>
        <w:t xml:space="preserve">a ajouté au document unique d’évaluation des risques professionnels </w:t>
      </w:r>
      <w:r w:rsidR="00C602E9" w:rsidRPr="00367C86">
        <w:rPr>
          <w:rFonts w:ascii="Arial" w:hAnsi="Arial" w:cs="Arial"/>
          <w:sz w:val="20"/>
          <w:szCs w:val="20"/>
        </w:rPr>
        <w:t>un nouveau chapitre concernant l’exposition des travailleurs aux ondes et</w:t>
      </w:r>
      <w:r w:rsidR="00762146" w:rsidRPr="00367C86">
        <w:rPr>
          <w:rFonts w:ascii="Arial" w:hAnsi="Arial" w:cs="Arial"/>
          <w:sz w:val="20"/>
          <w:szCs w:val="20"/>
        </w:rPr>
        <w:t xml:space="preserve"> aux champs électromagnétiques. </w:t>
      </w:r>
    </w:p>
    <w:p w:rsidR="00C602E9" w:rsidRPr="00367C86" w:rsidRDefault="00831E1F" w:rsidP="00367C86">
      <w:pPr>
        <w:ind w:left="0" w:firstLine="708"/>
        <w:rPr>
          <w:rFonts w:ascii="Arial" w:hAnsi="Arial" w:cs="Arial"/>
          <w:sz w:val="20"/>
          <w:szCs w:val="20"/>
        </w:rPr>
      </w:pPr>
      <w:r w:rsidRPr="00367C86">
        <w:rPr>
          <w:rFonts w:ascii="Arial" w:hAnsi="Arial" w:cs="Arial"/>
          <w:sz w:val="20"/>
          <w:szCs w:val="20"/>
        </w:rPr>
        <w:t xml:space="preserve">- </w:t>
      </w:r>
      <w:r w:rsidR="00762146" w:rsidRPr="00367C86">
        <w:rPr>
          <w:rFonts w:ascii="Arial" w:hAnsi="Arial" w:cs="Arial"/>
          <w:sz w:val="20"/>
          <w:szCs w:val="20"/>
        </w:rPr>
        <w:t>Par ailleurs, les fiches de po</w:t>
      </w:r>
      <w:r w:rsidR="00CA6481" w:rsidRPr="00367C86">
        <w:rPr>
          <w:rFonts w:ascii="Arial" w:hAnsi="Arial" w:cs="Arial"/>
          <w:sz w:val="20"/>
          <w:szCs w:val="20"/>
        </w:rPr>
        <w:t xml:space="preserve">stes - documents qui décrivent </w:t>
      </w:r>
      <w:r w:rsidR="00762146" w:rsidRPr="00367C86">
        <w:rPr>
          <w:rFonts w:ascii="Arial" w:hAnsi="Arial" w:cs="Arial"/>
          <w:sz w:val="20"/>
          <w:szCs w:val="20"/>
        </w:rPr>
        <w:t xml:space="preserve">les </w:t>
      </w:r>
      <w:r w:rsidR="00762146" w:rsidRPr="00367C86">
        <w:rPr>
          <w:rStyle w:val="lev"/>
          <w:rFonts w:ascii="Arial" w:hAnsi="Arial" w:cs="Arial"/>
          <w:b w:val="0"/>
          <w:sz w:val="20"/>
          <w:szCs w:val="20"/>
        </w:rPr>
        <w:t xml:space="preserve">missions </w:t>
      </w:r>
      <w:r w:rsidR="00762146" w:rsidRPr="00367C86">
        <w:rPr>
          <w:rFonts w:ascii="Arial" w:hAnsi="Arial" w:cs="Arial"/>
          <w:sz w:val="20"/>
          <w:szCs w:val="20"/>
        </w:rPr>
        <w:t xml:space="preserve">et </w:t>
      </w:r>
      <w:r w:rsidR="00762146" w:rsidRPr="00367C86">
        <w:rPr>
          <w:rStyle w:val="lev"/>
          <w:rFonts w:ascii="Arial" w:hAnsi="Arial" w:cs="Arial"/>
          <w:b w:val="0"/>
          <w:sz w:val="20"/>
          <w:szCs w:val="20"/>
        </w:rPr>
        <w:t>contraintes</w:t>
      </w:r>
      <w:r w:rsidR="00762146" w:rsidRPr="00367C86">
        <w:rPr>
          <w:rFonts w:ascii="Arial" w:hAnsi="Arial" w:cs="Arial"/>
          <w:sz w:val="20"/>
          <w:szCs w:val="20"/>
        </w:rPr>
        <w:t xml:space="preserve"> associé</w:t>
      </w:r>
      <w:r w:rsidR="00CA6481" w:rsidRPr="00367C86">
        <w:rPr>
          <w:rFonts w:ascii="Arial" w:hAnsi="Arial" w:cs="Arial"/>
          <w:sz w:val="20"/>
          <w:szCs w:val="20"/>
        </w:rPr>
        <w:t>es à un poste de travail et sont transmis</w:t>
      </w:r>
      <w:r w:rsidR="00762146" w:rsidRPr="00367C86">
        <w:rPr>
          <w:rFonts w:ascii="Arial" w:hAnsi="Arial" w:cs="Arial"/>
          <w:sz w:val="20"/>
          <w:szCs w:val="20"/>
        </w:rPr>
        <w:t xml:space="preserve"> par l’employeur au</w:t>
      </w:r>
      <w:r w:rsidR="00CA6481" w:rsidRPr="00367C86">
        <w:rPr>
          <w:rFonts w:ascii="Arial" w:hAnsi="Arial" w:cs="Arial"/>
          <w:sz w:val="20"/>
          <w:szCs w:val="20"/>
        </w:rPr>
        <w:t xml:space="preserve"> service de la santé au travail - constituent</w:t>
      </w:r>
      <w:r w:rsidR="00762146" w:rsidRPr="00367C86">
        <w:rPr>
          <w:rFonts w:ascii="Arial" w:hAnsi="Arial" w:cs="Arial"/>
          <w:sz w:val="20"/>
          <w:szCs w:val="20"/>
        </w:rPr>
        <w:t xml:space="preserve"> un support-cle</w:t>
      </w:r>
      <w:r w:rsidR="00CA6481" w:rsidRPr="00367C86">
        <w:rPr>
          <w:rFonts w:ascii="Arial" w:hAnsi="Arial" w:cs="Arial"/>
          <w:sz w:val="20"/>
          <w:szCs w:val="20"/>
        </w:rPr>
        <w:t xml:space="preserve">f lors des visites médicales, </w:t>
      </w:r>
      <w:r w:rsidR="00762146" w:rsidRPr="00367C86">
        <w:rPr>
          <w:rFonts w:ascii="Arial" w:hAnsi="Arial" w:cs="Arial"/>
          <w:sz w:val="20"/>
          <w:szCs w:val="20"/>
        </w:rPr>
        <w:t>un outil essentiel pour la médecine du travail chargée d’évaluer les risques et d’aider à la prévention.</w:t>
      </w:r>
    </w:p>
    <w:p w:rsidR="00762146" w:rsidRPr="00367C86" w:rsidRDefault="00831E1F" w:rsidP="00367C86">
      <w:pPr>
        <w:ind w:left="0" w:firstLine="0"/>
        <w:rPr>
          <w:rFonts w:ascii="Arial" w:hAnsi="Arial" w:cs="Arial"/>
          <w:sz w:val="20"/>
          <w:szCs w:val="20"/>
        </w:rPr>
      </w:pPr>
      <w:r w:rsidRPr="00367C86">
        <w:rPr>
          <w:rFonts w:ascii="Arial" w:hAnsi="Arial" w:cs="Arial"/>
          <w:sz w:val="20"/>
          <w:szCs w:val="20"/>
          <w:u w:val="single"/>
        </w:rPr>
        <w:t>Question</w:t>
      </w:r>
      <w:r w:rsidR="00762146" w:rsidRPr="00367C86">
        <w:rPr>
          <w:rFonts w:ascii="Arial" w:hAnsi="Arial" w:cs="Arial"/>
          <w:sz w:val="20"/>
          <w:szCs w:val="20"/>
        </w:rPr>
        <w:t> : l’usage des technologies sans fil et le temps d’exposition quotidien sont-ils documentés sur ces fiches de poste (wifi, tablettes, téléphone portable professionnel, téléphone DECT, proximité d’une antenne-relais exposant le lieu de travail, notamment) ? Ce sujet pourrait également faire l’objet d’un mémoire car il faudrait documenter l’exposition des travailleurs</w:t>
      </w:r>
      <w:r w:rsidRPr="00367C86">
        <w:rPr>
          <w:rFonts w:ascii="Arial" w:hAnsi="Arial" w:cs="Arial"/>
          <w:sz w:val="20"/>
          <w:szCs w:val="20"/>
        </w:rPr>
        <w:t>.ses</w:t>
      </w:r>
      <w:r w:rsidR="00762146" w:rsidRPr="00367C86">
        <w:rPr>
          <w:rFonts w:ascii="Arial" w:hAnsi="Arial" w:cs="Arial"/>
          <w:sz w:val="20"/>
          <w:szCs w:val="20"/>
        </w:rPr>
        <w:t xml:space="preserve"> (</w:t>
      </w:r>
      <w:r w:rsidRPr="00367C86">
        <w:rPr>
          <w:rFonts w:ascii="Arial" w:hAnsi="Arial" w:cs="Arial"/>
          <w:sz w:val="20"/>
          <w:szCs w:val="20"/>
        </w:rPr>
        <w:t xml:space="preserve">pour les valeurs-limites d’expositions et les valeurs déclenchant l’action, </w:t>
      </w:r>
      <w:r w:rsidR="00762146" w:rsidRPr="00367C86">
        <w:rPr>
          <w:rFonts w:ascii="Arial" w:hAnsi="Arial" w:cs="Arial"/>
          <w:sz w:val="20"/>
          <w:szCs w:val="20"/>
        </w:rPr>
        <w:t>cf. annexe 26).</w:t>
      </w:r>
      <w:r w:rsidRPr="00367C86">
        <w:rPr>
          <w:rFonts w:ascii="Arial" w:hAnsi="Arial" w:cs="Arial"/>
          <w:sz w:val="20"/>
          <w:szCs w:val="20"/>
        </w:rPr>
        <w:t xml:space="preserve"> </w:t>
      </w:r>
    </w:p>
    <w:p w:rsidR="00DB701B" w:rsidRPr="00367C86" w:rsidRDefault="00DB701B" w:rsidP="00367C86">
      <w:pPr>
        <w:ind w:left="0" w:firstLine="0"/>
        <w:rPr>
          <w:rFonts w:ascii="Arial" w:hAnsi="Arial" w:cs="Arial"/>
          <w:sz w:val="20"/>
          <w:szCs w:val="20"/>
        </w:rPr>
      </w:pPr>
    </w:p>
    <w:p w:rsidR="00DB701B" w:rsidRPr="00367C86" w:rsidRDefault="00DB701B" w:rsidP="00367C86">
      <w:pPr>
        <w:ind w:left="0" w:firstLine="0"/>
        <w:rPr>
          <w:rStyle w:val="lev"/>
          <w:rFonts w:ascii="Arial" w:hAnsi="Arial" w:cs="Arial"/>
          <w:b w:val="0"/>
          <w:bCs w:val="0"/>
          <w:sz w:val="20"/>
          <w:szCs w:val="20"/>
        </w:rPr>
      </w:pPr>
      <w:r w:rsidRPr="00367C86">
        <w:rPr>
          <w:rStyle w:val="lev"/>
          <w:rFonts w:ascii="Arial" w:hAnsi="Arial" w:cs="Arial"/>
          <w:b w:val="0"/>
          <w:bCs w:val="0"/>
          <w:sz w:val="20"/>
          <w:szCs w:val="20"/>
        </w:rPr>
        <w:t>Nous sommes passés rapidement sur cette partie qui mériterait d’être développée dans un mémoire ultérieur. En effet, divers textes sont intervenus en moins de dix années, qui ont facilité le déploiement des opérateurs, réglementaires ou de planification : loi Elan</w:t>
      </w:r>
      <w:r w:rsidRPr="00367C86">
        <w:rPr>
          <w:rStyle w:val="Appelnotedebasdep"/>
          <w:rFonts w:ascii="Arial" w:hAnsi="Arial" w:cs="Arial"/>
          <w:sz w:val="20"/>
          <w:szCs w:val="20"/>
        </w:rPr>
        <w:footnoteReference w:id="83"/>
      </w:r>
      <w:r w:rsidRPr="00367C86">
        <w:rPr>
          <w:rStyle w:val="lev"/>
          <w:rFonts w:ascii="Arial" w:hAnsi="Arial" w:cs="Arial"/>
          <w:b w:val="0"/>
          <w:bCs w:val="0"/>
          <w:sz w:val="20"/>
          <w:szCs w:val="20"/>
        </w:rPr>
        <w:t>, Plan numérique pour l’éducation, ordonnance du 25/03/2020</w:t>
      </w:r>
      <w:r w:rsidRPr="00367C86">
        <w:rPr>
          <w:rStyle w:val="Appelnotedebasdep"/>
          <w:rFonts w:ascii="Arial" w:hAnsi="Arial" w:cs="Arial"/>
          <w:sz w:val="20"/>
          <w:szCs w:val="20"/>
        </w:rPr>
        <w:footnoteReference w:id="84"/>
      </w:r>
      <w:r w:rsidRPr="00367C86">
        <w:rPr>
          <w:rStyle w:val="lev"/>
          <w:rFonts w:ascii="Arial" w:hAnsi="Arial" w:cs="Arial"/>
          <w:b w:val="0"/>
          <w:bCs w:val="0"/>
          <w:sz w:val="20"/>
          <w:szCs w:val="20"/>
        </w:rPr>
        <w:t xml:space="preserve"> pour faciliter le déploiement des antennes-relais de téléphonie mobile</w:t>
      </w:r>
      <w:r w:rsidR="001F5751" w:rsidRPr="00367C86">
        <w:rPr>
          <w:rStyle w:val="lev"/>
          <w:rFonts w:ascii="Arial" w:hAnsi="Arial" w:cs="Arial"/>
          <w:b w:val="0"/>
          <w:bCs w:val="0"/>
          <w:sz w:val="20"/>
          <w:szCs w:val="20"/>
        </w:rPr>
        <w:t xml:space="preserve"> (dérogations</w:t>
      </w:r>
      <w:r w:rsidR="00E45CDB" w:rsidRPr="00367C86">
        <w:rPr>
          <w:rStyle w:val="lev"/>
          <w:rFonts w:ascii="Arial" w:hAnsi="Arial" w:cs="Arial"/>
          <w:b w:val="0"/>
          <w:bCs w:val="0"/>
          <w:sz w:val="20"/>
          <w:szCs w:val="20"/>
        </w:rPr>
        <w:t xml:space="preserve"> à l’accord préalable de l’ANFR, suspension de l’</w:t>
      </w:r>
      <w:r w:rsidR="001F5751" w:rsidRPr="00367C86">
        <w:rPr>
          <w:rStyle w:val="lev"/>
          <w:rFonts w:ascii="Arial" w:hAnsi="Arial" w:cs="Arial"/>
          <w:b w:val="0"/>
          <w:bCs w:val="0"/>
          <w:sz w:val="20"/>
          <w:szCs w:val="20"/>
        </w:rPr>
        <w:t>information</w:t>
      </w:r>
      <w:r w:rsidR="00E45CDB" w:rsidRPr="00367C86">
        <w:rPr>
          <w:rStyle w:val="lev"/>
          <w:rFonts w:ascii="Arial" w:hAnsi="Arial" w:cs="Arial"/>
          <w:b w:val="0"/>
          <w:bCs w:val="0"/>
          <w:sz w:val="20"/>
          <w:szCs w:val="20"/>
        </w:rPr>
        <w:t xml:space="preserve"> aux Mairies</w:t>
      </w:r>
      <w:r w:rsidR="001F5751" w:rsidRPr="00367C86">
        <w:rPr>
          <w:rStyle w:val="lev"/>
          <w:rFonts w:ascii="Arial" w:hAnsi="Arial" w:cs="Arial"/>
          <w:b w:val="0"/>
          <w:bCs w:val="0"/>
          <w:sz w:val="20"/>
          <w:szCs w:val="20"/>
        </w:rPr>
        <w:t xml:space="preserve">, accélération </w:t>
      </w:r>
      <w:r w:rsidR="00E45CDB" w:rsidRPr="00367C86">
        <w:rPr>
          <w:rStyle w:val="lev"/>
          <w:rFonts w:ascii="Arial" w:hAnsi="Arial" w:cs="Arial"/>
          <w:b w:val="0"/>
          <w:bCs w:val="0"/>
          <w:sz w:val="20"/>
          <w:szCs w:val="20"/>
        </w:rPr>
        <w:t>des procédures, notamment)</w:t>
      </w:r>
      <w:r w:rsidRPr="00367C86">
        <w:rPr>
          <w:rStyle w:val="lev"/>
          <w:rFonts w:ascii="Arial" w:hAnsi="Arial" w:cs="Arial"/>
          <w:b w:val="0"/>
          <w:bCs w:val="0"/>
          <w:sz w:val="20"/>
          <w:szCs w:val="20"/>
        </w:rPr>
        <w:t xml:space="preserve">, </w:t>
      </w:r>
      <w:r w:rsidR="00E45CDB" w:rsidRPr="00367C86">
        <w:rPr>
          <w:rStyle w:val="lev"/>
          <w:rFonts w:ascii="Arial" w:hAnsi="Arial" w:cs="Arial"/>
          <w:b w:val="0"/>
          <w:bCs w:val="0"/>
          <w:sz w:val="20"/>
          <w:szCs w:val="20"/>
        </w:rPr>
        <w:t>par exemple</w:t>
      </w:r>
      <w:r w:rsidRPr="00367C86">
        <w:rPr>
          <w:rStyle w:val="lev"/>
          <w:rFonts w:ascii="Arial" w:hAnsi="Arial" w:cs="Arial"/>
          <w:b w:val="0"/>
          <w:bCs w:val="0"/>
          <w:sz w:val="20"/>
          <w:szCs w:val="20"/>
        </w:rPr>
        <w:t>. Par ailleurs, tout ne se joue pas au niveau national : les conséquences du règlement européen GIA (Gigabit Infrastructure Act) devraient également être évaluées.</w:t>
      </w:r>
    </w:p>
    <w:p w:rsidR="00DB701B" w:rsidRPr="00367C86" w:rsidRDefault="00DB701B" w:rsidP="00367C86">
      <w:pPr>
        <w:ind w:left="0" w:firstLine="0"/>
        <w:rPr>
          <w:rFonts w:ascii="Arial" w:hAnsi="Arial" w:cs="Arial"/>
          <w:sz w:val="20"/>
          <w:szCs w:val="20"/>
        </w:rPr>
      </w:pPr>
    </w:p>
    <w:p w:rsidR="001F5751" w:rsidRPr="00367C86" w:rsidRDefault="001F5751" w:rsidP="009F3BB0">
      <w:pPr>
        <w:pStyle w:val="Paragraphedeliste"/>
        <w:numPr>
          <w:ilvl w:val="0"/>
          <w:numId w:val="22"/>
        </w:numPr>
        <w:rPr>
          <w:rFonts w:ascii="Arial" w:hAnsi="Arial" w:cs="Arial"/>
          <w:sz w:val="20"/>
          <w:szCs w:val="20"/>
        </w:rPr>
      </w:pPr>
      <w:r w:rsidRPr="00367C86">
        <w:rPr>
          <w:rFonts w:ascii="Arial" w:hAnsi="Arial" w:cs="Arial"/>
          <w:sz w:val="20"/>
          <w:szCs w:val="20"/>
        </w:rPr>
        <w:t>Volontarisme politique :</w:t>
      </w:r>
    </w:p>
    <w:p w:rsidR="001F5751" w:rsidRPr="00367C86" w:rsidRDefault="001F5751" w:rsidP="00367C86">
      <w:pPr>
        <w:rPr>
          <w:rFonts w:ascii="Arial" w:hAnsi="Arial" w:cs="Arial"/>
          <w:sz w:val="20"/>
          <w:szCs w:val="20"/>
        </w:rPr>
      </w:pPr>
    </w:p>
    <w:p w:rsidR="001F5751" w:rsidRPr="00367C86" w:rsidRDefault="00CA6481" w:rsidP="00367C86">
      <w:pPr>
        <w:ind w:left="0" w:firstLine="0"/>
        <w:rPr>
          <w:rFonts w:ascii="Arial" w:hAnsi="Arial" w:cs="Arial"/>
          <w:sz w:val="20"/>
          <w:szCs w:val="20"/>
        </w:rPr>
      </w:pPr>
      <w:r w:rsidRPr="00367C86">
        <w:rPr>
          <w:rFonts w:ascii="Arial" w:hAnsi="Arial" w:cs="Arial"/>
          <w:sz w:val="20"/>
          <w:szCs w:val="20"/>
        </w:rPr>
        <w:t>Nos gouvernements successifs font preuve d’un</w:t>
      </w:r>
      <w:r w:rsidR="001F5751" w:rsidRPr="00367C86">
        <w:rPr>
          <w:rFonts w:ascii="Arial" w:hAnsi="Arial" w:cs="Arial"/>
          <w:sz w:val="20"/>
          <w:szCs w:val="20"/>
        </w:rPr>
        <w:t xml:space="preserve"> volontarisme </w:t>
      </w:r>
      <w:r w:rsidRPr="00367C86">
        <w:rPr>
          <w:rFonts w:ascii="Arial" w:hAnsi="Arial" w:cs="Arial"/>
          <w:sz w:val="20"/>
          <w:szCs w:val="20"/>
        </w:rPr>
        <w:t>fort…</w:t>
      </w:r>
      <w:r w:rsidR="001F5751" w:rsidRPr="00367C86">
        <w:rPr>
          <w:rFonts w:ascii="Arial" w:hAnsi="Arial" w:cs="Arial"/>
          <w:sz w:val="20"/>
          <w:szCs w:val="20"/>
        </w:rPr>
        <w:t xml:space="preserve"> en fave</w:t>
      </w:r>
      <w:r w:rsidR="006B482B" w:rsidRPr="00367C86">
        <w:rPr>
          <w:rFonts w:ascii="Arial" w:hAnsi="Arial" w:cs="Arial"/>
          <w:sz w:val="20"/>
          <w:szCs w:val="20"/>
        </w:rPr>
        <w:t>ur du développement des technol</w:t>
      </w:r>
      <w:r w:rsidR="001F5751" w:rsidRPr="00367C86">
        <w:rPr>
          <w:rFonts w:ascii="Arial" w:hAnsi="Arial" w:cs="Arial"/>
          <w:sz w:val="20"/>
          <w:szCs w:val="20"/>
        </w:rPr>
        <w:t>ogies sans fil. Il faudrait reprendre les 34 priorités industrielles de la France rendues publiques en 2013 (E-</w:t>
      </w:r>
      <w:r w:rsidR="00E45CDB" w:rsidRPr="00367C86">
        <w:rPr>
          <w:rFonts w:ascii="Arial" w:hAnsi="Arial" w:cs="Arial"/>
          <w:sz w:val="20"/>
          <w:szCs w:val="20"/>
        </w:rPr>
        <w:t>éducation, hôpital numérique, objets connectés, services sans contact, par exe</w:t>
      </w:r>
      <w:r w:rsidR="00FD4001" w:rsidRPr="00367C86">
        <w:rPr>
          <w:rFonts w:ascii="Arial" w:hAnsi="Arial" w:cs="Arial"/>
          <w:sz w:val="20"/>
          <w:szCs w:val="20"/>
        </w:rPr>
        <w:t>mple) et se pencher par ailleurs sur le New Deal Mobile engageant les opérateurs à accélérer la couverture du terr</w:t>
      </w:r>
      <w:r w:rsidR="00D94B82" w:rsidRPr="00367C86">
        <w:rPr>
          <w:rFonts w:ascii="Arial" w:hAnsi="Arial" w:cs="Arial"/>
          <w:sz w:val="20"/>
          <w:szCs w:val="20"/>
        </w:rPr>
        <w:t>itoire</w:t>
      </w:r>
      <w:r w:rsidR="006B482B" w:rsidRPr="00367C86">
        <w:rPr>
          <w:rFonts w:ascii="Arial" w:hAnsi="Arial" w:cs="Arial"/>
          <w:sz w:val="20"/>
          <w:szCs w:val="20"/>
        </w:rPr>
        <w:t xml:space="preserve">, </w:t>
      </w:r>
      <w:r w:rsidR="00FD4001" w:rsidRPr="00367C86">
        <w:rPr>
          <w:rFonts w:ascii="Arial" w:hAnsi="Arial" w:cs="Arial"/>
          <w:sz w:val="20"/>
          <w:szCs w:val="20"/>
        </w:rPr>
        <w:t>généralisant la 4G, couvrant les voies ferrées</w:t>
      </w:r>
      <w:r w:rsidR="00492A48" w:rsidRPr="00367C86">
        <w:rPr>
          <w:rFonts w:ascii="Arial" w:hAnsi="Arial" w:cs="Arial"/>
          <w:sz w:val="20"/>
          <w:szCs w:val="20"/>
        </w:rPr>
        <w:t xml:space="preserve"> et rés</w:t>
      </w:r>
      <w:r w:rsidRPr="00367C86">
        <w:rPr>
          <w:rFonts w:ascii="Arial" w:hAnsi="Arial" w:cs="Arial"/>
          <w:sz w:val="20"/>
          <w:szCs w:val="20"/>
        </w:rPr>
        <w:t>eaux routiers, et les campagnes, et la montagne.</w:t>
      </w:r>
    </w:p>
    <w:p w:rsidR="00CA6481" w:rsidRPr="00367C86" w:rsidRDefault="00CA6481" w:rsidP="00367C86">
      <w:pPr>
        <w:ind w:left="0" w:firstLine="0"/>
        <w:rPr>
          <w:rFonts w:ascii="Arial" w:hAnsi="Arial" w:cs="Arial"/>
          <w:sz w:val="20"/>
          <w:szCs w:val="20"/>
        </w:rPr>
      </w:pPr>
      <w:r w:rsidRPr="00367C86">
        <w:rPr>
          <w:rFonts w:ascii="Arial" w:hAnsi="Arial" w:cs="Arial"/>
          <w:sz w:val="20"/>
          <w:szCs w:val="20"/>
        </w:rPr>
        <w:t>Cette volonté s’inscrit à tous les niveaux : les collectivités locales sont</w:t>
      </w:r>
      <w:r w:rsidR="00A271FA" w:rsidRPr="00367C86">
        <w:rPr>
          <w:rFonts w:ascii="Arial" w:hAnsi="Arial" w:cs="Arial"/>
          <w:sz w:val="20"/>
          <w:szCs w:val="20"/>
        </w:rPr>
        <w:t xml:space="preserve"> </w:t>
      </w:r>
      <w:r w:rsidRPr="00367C86">
        <w:rPr>
          <w:rFonts w:ascii="Arial" w:hAnsi="Arial" w:cs="Arial"/>
          <w:sz w:val="20"/>
          <w:szCs w:val="20"/>
        </w:rPr>
        <w:t xml:space="preserve">ainsi </w:t>
      </w:r>
      <w:r w:rsidR="00D94B82" w:rsidRPr="00367C86">
        <w:rPr>
          <w:rFonts w:ascii="Arial" w:hAnsi="Arial" w:cs="Arial"/>
          <w:sz w:val="20"/>
          <w:szCs w:val="20"/>
        </w:rPr>
        <w:t>incitées à déployer un w</w:t>
      </w:r>
      <w:r w:rsidR="00A271FA" w:rsidRPr="00367C86">
        <w:rPr>
          <w:rFonts w:ascii="Arial" w:hAnsi="Arial" w:cs="Arial"/>
          <w:sz w:val="20"/>
          <w:szCs w:val="20"/>
        </w:rPr>
        <w:t>ifi territorial</w:t>
      </w:r>
      <w:r w:rsidR="00A271FA" w:rsidRPr="00367C86">
        <w:rPr>
          <w:rStyle w:val="Appelnotedebasdep"/>
          <w:rFonts w:ascii="Arial" w:hAnsi="Arial" w:cs="Arial"/>
          <w:sz w:val="20"/>
          <w:szCs w:val="20"/>
        </w:rPr>
        <w:footnoteReference w:id="85"/>
      </w:r>
      <w:r w:rsidRPr="00367C86">
        <w:rPr>
          <w:rFonts w:ascii="Arial" w:hAnsi="Arial" w:cs="Arial"/>
          <w:sz w:val="20"/>
          <w:szCs w:val="20"/>
        </w:rPr>
        <w:t xml:space="preserve"> et l’</w:t>
      </w:r>
      <w:r w:rsidR="0063400F" w:rsidRPr="00367C86">
        <w:rPr>
          <w:rFonts w:ascii="Arial" w:hAnsi="Arial" w:cs="Arial"/>
          <w:sz w:val="20"/>
          <w:szCs w:val="20"/>
        </w:rPr>
        <w:t xml:space="preserve">Education nationale encourage activement l’équipement numérique des écoles par les communes </w:t>
      </w:r>
      <w:r w:rsidRPr="00367C86">
        <w:rPr>
          <w:rFonts w:ascii="Arial" w:hAnsi="Arial" w:cs="Arial"/>
          <w:sz w:val="20"/>
          <w:szCs w:val="20"/>
        </w:rPr>
        <w:t>(wifi, tablettes, tableaux numériques i</w:t>
      </w:r>
      <w:r w:rsidR="0063400F" w:rsidRPr="00367C86">
        <w:rPr>
          <w:rFonts w:ascii="Arial" w:hAnsi="Arial" w:cs="Arial"/>
          <w:sz w:val="20"/>
          <w:szCs w:val="20"/>
        </w:rPr>
        <w:t>nteractifs).</w:t>
      </w:r>
    </w:p>
    <w:p w:rsidR="00A271FA" w:rsidRPr="00367C86" w:rsidRDefault="00CA6481" w:rsidP="00367C86">
      <w:pPr>
        <w:ind w:left="0" w:firstLine="0"/>
        <w:rPr>
          <w:rFonts w:ascii="Arial" w:hAnsi="Arial" w:cs="Arial"/>
          <w:sz w:val="20"/>
          <w:szCs w:val="20"/>
        </w:rPr>
      </w:pPr>
      <w:r w:rsidRPr="00367C86">
        <w:rPr>
          <w:rFonts w:ascii="Arial" w:hAnsi="Arial" w:cs="Arial"/>
          <w:sz w:val="20"/>
          <w:szCs w:val="20"/>
        </w:rPr>
        <w:lastRenderedPageBreak/>
        <w:t>E</w:t>
      </w:r>
      <w:r w:rsidR="00A271FA" w:rsidRPr="00367C86">
        <w:rPr>
          <w:rFonts w:ascii="Arial" w:hAnsi="Arial" w:cs="Arial"/>
          <w:sz w:val="20"/>
          <w:szCs w:val="20"/>
        </w:rPr>
        <w:t>n déplacement à Mayotte suite au passage dévastateur du cyclone Chido, le pre</w:t>
      </w:r>
      <w:r w:rsidRPr="00367C86">
        <w:rPr>
          <w:rFonts w:ascii="Arial" w:hAnsi="Arial" w:cs="Arial"/>
          <w:sz w:val="20"/>
          <w:szCs w:val="20"/>
        </w:rPr>
        <w:t>mier ministre français annonce</w:t>
      </w:r>
      <w:r w:rsidR="00A271FA" w:rsidRPr="00367C86">
        <w:rPr>
          <w:rFonts w:ascii="Arial" w:hAnsi="Arial" w:cs="Arial"/>
          <w:sz w:val="20"/>
          <w:szCs w:val="20"/>
        </w:rPr>
        <w:t xml:space="preserve"> le plan Mayotte debout</w:t>
      </w:r>
      <w:r w:rsidR="00A271FA" w:rsidRPr="00367C86">
        <w:rPr>
          <w:rStyle w:val="Appelnotedebasdep"/>
          <w:rFonts w:ascii="Arial" w:hAnsi="Arial" w:cs="Arial"/>
          <w:sz w:val="20"/>
          <w:szCs w:val="20"/>
        </w:rPr>
        <w:footnoteReference w:id="86"/>
      </w:r>
      <w:r w:rsidR="00A271FA" w:rsidRPr="00367C86">
        <w:rPr>
          <w:rFonts w:ascii="Arial" w:hAnsi="Arial" w:cs="Arial"/>
          <w:sz w:val="20"/>
          <w:szCs w:val="20"/>
        </w:rPr>
        <w:t>. Les 3 premiers points en sont </w:t>
      </w:r>
      <w:r w:rsidRPr="00367C86">
        <w:rPr>
          <w:rFonts w:ascii="Arial" w:hAnsi="Arial" w:cs="Arial"/>
          <w:sz w:val="20"/>
          <w:szCs w:val="20"/>
        </w:rPr>
        <w:t>: de l’eau, de l’électricité</w:t>
      </w:r>
      <w:r w:rsidR="00A91387">
        <w:rPr>
          <w:rFonts w:ascii="Arial" w:hAnsi="Arial" w:cs="Arial"/>
          <w:sz w:val="20"/>
          <w:szCs w:val="20"/>
        </w:rPr>
        <w:t>,</w:t>
      </w:r>
      <w:r w:rsidRPr="00367C86">
        <w:rPr>
          <w:rFonts w:ascii="Arial" w:hAnsi="Arial" w:cs="Arial"/>
          <w:sz w:val="20"/>
          <w:szCs w:val="20"/>
        </w:rPr>
        <w:t xml:space="preserve"> </w:t>
      </w:r>
      <w:r w:rsidR="00A271FA" w:rsidRPr="00367C86">
        <w:rPr>
          <w:rFonts w:ascii="Arial" w:hAnsi="Arial" w:cs="Arial"/>
          <w:sz w:val="20"/>
          <w:szCs w:val="20"/>
        </w:rPr>
        <w:t>la 5G.</w:t>
      </w:r>
    </w:p>
    <w:p w:rsidR="0063400F" w:rsidRPr="00367C86" w:rsidRDefault="0063400F" w:rsidP="00367C86">
      <w:pPr>
        <w:ind w:left="0" w:firstLine="0"/>
        <w:rPr>
          <w:rFonts w:ascii="Arial" w:hAnsi="Arial" w:cs="Arial"/>
          <w:sz w:val="20"/>
          <w:szCs w:val="20"/>
        </w:rPr>
      </w:pPr>
      <w:r w:rsidRPr="00367C86">
        <w:rPr>
          <w:rFonts w:ascii="Arial" w:hAnsi="Arial" w:cs="Arial"/>
          <w:sz w:val="20"/>
          <w:szCs w:val="20"/>
        </w:rPr>
        <w:t xml:space="preserve">Des député.e.s, sollicité.e.s par leurs administré.e.s montent parfois au créneau, relaient des questions auprès du gouvernement. Mais tant que les seuils réglementaires sont respectés et en l’absence de risque « avéré », tout est sous contrôle. Parfois les réponses tardent, l’assemblée est renouvelée et ces questions deviennent caduques, il faut alors les reposer. </w:t>
      </w:r>
    </w:p>
    <w:p w:rsidR="00BA5FBC" w:rsidRPr="00367C86" w:rsidRDefault="00BA5FBC" w:rsidP="00367C86">
      <w:pPr>
        <w:ind w:left="0" w:firstLine="0"/>
        <w:rPr>
          <w:rFonts w:ascii="Arial" w:hAnsi="Arial" w:cs="Arial"/>
          <w:sz w:val="20"/>
          <w:szCs w:val="20"/>
        </w:rPr>
      </w:pPr>
      <w:r w:rsidRPr="00367C86">
        <w:rPr>
          <w:rFonts w:ascii="Arial" w:hAnsi="Arial" w:cs="Arial"/>
          <w:sz w:val="20"/>
          <w:szCs w:val="20"/>
        </w:rPr>
        <w:t>La ligne directrice est en résumé une politique de gestion de l’exposition, de suivi et de contrôle, mais pas de réduction, au contraire.</w:t>
      </w:r>
    </w:p>
    <w:p w:rsidR="0063400F" w:rsidRPr="00367C86" w:rsidRDefault="0063400F" w:rsidP="00367C86">
      <w:pPr>
        <w:ind w:left="0" w:firstLine="708"/>
        <w:rPr>
          <w:rFonts w:ascii="Arial" w:hAnsi="Arial" w:cs="Arial"/>
          <w:sz w:val="20"/>
          <w:szCs w:val="20"/>
        </w:rPr>
      </w:pPr>
    </w:p>
    <w:p w:rsidR="00B0614E" w:rsidRPr="00367C86" w:rsidRDefault="00A271FA" w:rsidP="00367C86">
      <w:pPr>
        <w:ind w:left="0" w:firstLine="0"/>
        <w:rPr>
          <w:rFonts w:ascii="Arial" w:hAnsi="Arial" w:cs="Arial"/>
          <w:sz w:val="20"/>
          <w:szCs w:val="20"/>
        </w:rPr>
      </w:pPr>
      <w:r w:rsidRPr="00367C86">
        <w:rPr>
          <w:rFonts w:ascii="Arial" w:hAnsi="Arial" w:cs="Arial"/>
          <w:sz w:val="20"/>
          <w:szCs w:val="20"/>
        </w:rPr>
        <w:t>L</w:t>
      </w:r>
      <w:r w:rsidR="00CA6481" w:rsidRPr="00367C86">
        <w:rPr>
          <w:rFonts w:ascii="Arial" w:hAnsi="Arial" w:cs="Arial"/>
          <w:sz w:val="20"/>
          <w:szCs w:val="20"/>
        </w:rPr>
        <w:t xml:space="preserve">e principe </w:t>
      </w:r>
      <w:r w:rsidRPr="00367C86">
        <w:rPr>
          <w:rFonts w:ascii="Arial" w:hAnsi="Arial" w:cs="Arial"/>
          <w:sz w:val="20"/>
          <w:szCs w:val="20"/>
        </w:rPr>
        <w:t>de précaution inscrit dans la Charte de l'enviro</w:t>
      </w:r>
      <w:r w:rsidR="00CA6481" w:rsidRPr="00367C86">
        <w:rPr>
          <w:rFonts w:ascii="Arial" w:hAnsi="Arial" w:cs="Arial"/>
          <w:sz w:val="20"/>
          <w:szCs w:val="20"/>
        </w:rPr>
        <w:t xml:space="preserve">nnement de 2004 et dans le préambule de la Constitution </w:t>
      </w:r>
      <w:r w:rsidR="0063400F" w:rsidRPr="00367C86">
        <w:rPr>
          <w:rFonts w:ascii="Arial" w:hAnsi="Arial" w:cs="Arial"/>
          <w:sz w:val="20"/>
          <w:szCs w:val="20"/>
        </w:rPr>
        <w:t>« </w:t>
      </w:r>
      <w:r w:rsidR="00CA6481" w:rsidRPr="00367C86">
        <w:rPr>
          <w:rFonts w:ascii="Arial" w:hAnsi="Arial" w:cs="Arial"/>
          <w:sz w:val="20"/>
          <w:szCs w:val="20"/>
        </w:rPr>
        <w:t>oblige</w:t>
      </w:r>
      <w:r w:rsidR="0063400F" w:rsidRPr="00367C86">
        <w:rPr>
          <w:rFonts w:ascii="Arial" w:hAnsi="Arial" w:cs="Arial"/>
          <w:sz w:val="20"/>
          <w:szCs w:val="20"/>
        </w:rPr>
        <w:t> »</w:t>
      </w:r>
      <w:r w:rsidR="0063400F" w:rsidRPr="00367C86">
        <w:rPr>
          <w:rStyle w:val="Appelnotedebasdep"/>
          <w:rFonts w:ascii="Arial" w:hAnsi="Arial" w:cs="Arial"/>
          <w:sz w:val="20"/>
          <w:szCs w:val="20"/>
        </w:rPr>
        <w:footnoteReference w:id="87"/>
      </w:r>
      <w:r w:rsidR="00CA6481" w:rsidRPr="00367C86">
        <w:rPr>
          <w:rFonts w:ascii="Arial" w:hAnsi="Arial" w:cs="Arial"/>
          <w:sz w:val="20"/>
          <w:szCs w:val="20"/>
        </w:rPr>
        <w:t xml:space="preserve"> </w:t>
      </w:r>
      <w:r w:rsidRPr="00367C86">
        <w:rPr>
          <w:rFonts w:ascii="Arial" w:hAnsi="Arial" w:cs="Arial"/>
          <w:sz w:val="20"/>
          <w:szCs w:val="20"/>
        </w:rPr>
        <w:t>les pouvoirs publics à prendre toutes les mesures nécessaires afin de prévenir les dommages graves et irréversibles à la santé publique. Mais tant que les rapports d’expertise sanitaire ne trouvent pas d’effet « avéré »…</w:t>
      </w:r>
      <w:r w:rsidRPr="00367C86">
        <w:rPr>
          <w:rFonts w:ascii="Arial" w:hAnsi="Arial" w:cs="Arial"/>
          <w:i/>
          <w:sz w:val="20"/>
          <w:szCs w:val="20"/>
        </w:rPr>
        <w:t>business as usual</w:t>
      </w:r>
      <w:r w:rsidRPr="00367C86">
        <w:rPr>
          <w:rFonts w:ascii="Arial" w:hAnsi="Arial" w:cs="Arial"/>
          <w:sz w:val="20"/>
          <w:szCs w:val="20"/>
        </w:rPr>
        <w:t>.</w:t>
      </w:r>
      <w:r w:rsidR="000B2A85" w:rsidRPr="00367C86">
        <w:rPr>
          <w:rFonts w:ascii="Arial" w:hAnsi="Arial" w:cs="Arial"/>
          <w:sz w:val="20"/>
          <w:szCs w:val="20"/>
        </w:rPr>
        <w:t xml:space="preserve"> </w:t>
      </w:r>
    </w:p>
    <w:p w:rsidR="00961983" w:rsidRPr="00367C86" w:rsidRDefault="00961983" w:rsidP="00367C86">
      <w:pPr>
        <w:rPr>
          <w:rFonts w:ascii="Arial" w:hAnsi="Arial" w:cs="Arial"/>
          <w:sz w:val="20"/>
          <w:szCs w:val="20"/>
        </w:rPr>
      </w:pPr>
    </w:p>
    <w:p w:rsidR="00B0614E" w:rsidRPr="00367C86" w:rsidRDefault="008C07B9" w:rsidP="009F3BB0">
      <w:pPr>
        <w:pStyle w:val="Paragraphedeliste"/>
        <w:numPr>
          <w:ilvl w:val="0"/>
          <w:numId w:val="9"/>
        </w:numPr>
        <w:rPr>
          <w:rFonts w:ascii="Arial" w:hAnsi="Arial" w:cs="Arial"/>
          <w:sz w:val="20"/>
          <w:szCs w:val="20"/>
        </w:rPr>
      </w:pPr>
      <w:r w:rsidRPr="00367C86">
        <w:rPr>
          <w:rFonts w:ascii="Arial" w:hAnsi="Arial" w:cs="Arial"/>
          <w:sz w:val="20"/>
          <w:szCs w:val="20"/>
        </w:rPr>
        <w:t>« Les gens »</w:t>
      </w:r>
      <w:r w:rsidR="00B0614E" w:rsidRPr="00367C86">
        <w:rPr>
          <w:rFonts w:ascii="Arial" w:hAnsi="Arial" w:cs="Arial"/>
          <w:sz w:val="20"/>
          <w:szCs w:val="20"/>
        </w:rPr>
        <w:t> :</w:t>
      </w:r>
    </w:p>
    <w:p w:rsidR="00B0614E" w:rsidRPr="00367C86" w:rsidRDefault="00B0614E" w:rsidP="00367C86">
      <w:pPr>
        <w:rPr>
          <w:rFonts w:ascii="Arial" w:hAnsi="Arial" w:cs="Arial"/>
          <w:sz w:val="20"/>
          <w:szCs w:val="20"/>
        </w:rPr>
      </w:pPr>
    </w:p>
    <w:p w:rsidR="00520762" w:rsidRPr="00367C86" w:rsidRDefault="00BA5FBC" w:rsidP="00367C86">
      <w:pPr>
        <w:ind w:left="0" w:firstLine="0"/>
        <w:rPr>
          <w:rFonts w:ascii="Arial" w:hAnsi="Arial" w:cs="Arial"/>
          <w:sz w:val="20"/>
          <w:szCs w:val="20"/>
        </w:rPr>
      </w:pPr>
      <w:r w:rsidRPr="00367C86">
        <w:rPr>
          <w:rFonts w:ascii="Arial" w:hAnsi="Arial" w:cs="Arial"/>
          <w:sz w:val="20"/>
          <w:szCs w:val="20"/>
        </w:rPr>
        <w:t>Nous avons parlé des technologies, de la science, des médias, du cadre réglementaire, du contexte politique, de tout ce qui fait un environnement pour la vie de ceux</w:t>
      </w:r>
      <w:r w:rsidR="00524182" w:rsidRPr="00367C86">
        <w:rPr>
          <w:rFonts w:ascii="Arial" w:hAnsi="Arial" w:cs="Arial"/>
          <w:sz w:val="20"/>
          <w:szCs w:val="20"/>
        </w:rPr>
        <w:t xml:space="preserve"> qui sont </w:t>
      </w:r>
      <w:r w:rsidRPr="00367C86">
        <w:rPr>
          <w:rFonts w:ascii="Arial" w:hAnsi="Arial" w:cs="Arial"/>
          <w:sz w:val="20"/>
          <w:szCs w:val="20"/>
        </w:rPr>
        <w:t xml:space="preserve">au cœur de ces préoccupations : </w:t>
      </w:r>
      <w:r w:rsidR="008C07B9" w:rsidRPr="00367C86">
        <w:rPr>
          <w:rFonts w:ascii="Arial" w:hAnsi="Arial" w:cs="Arial"/>
          <w:sz w:val="20"/>
          <w:szCs w:val="20"/>
        </w:rPr>
        <w:t>« </w:t>
      </w:r>
      <w:r w:rsidRPr="00367C86">
        <w:rPr>
          <w:rFonts w:ascii="Arial" w:hAnsi="Arial" w:cs="Arial"/>
          <w:sz w:val="20"/>
          <w:szCs w:val="20"/>
        </w:rPr>
        <w:t>les gens</w:t>
      </w:r>
      <w:r w:rsidR="008C07B9" w:rsidRPr="00367C86">
        <w:rPr>
          <w:rFonts w:ascii="Arial" w:hAnsi="Arial" w:cs="Arial"/>
          <w:sz w:val="20"/>
          <w:szCs w:val="20"/>
        </w:rPr>
        <w:t> »</w:t>
      </w:r>
      <w:r w:rsidRPr="00367C86">
        <w:rPr>
          <w:rFonts w:ascii="Arial" w:hAnsi="Arial" w:cs="Arial"/>
          <w:sz w:val="20"/>
          <w:szCs w:val="20"/>
        </w:rPr>
        <w:t>. Qui ne forment pas un groupe homogène : des hommes, des femmes, des enfants, des adolescents, des tout petits, des très âgés, malades, déprimés parfois, stressés souvent.</w:t>
      </w:r>
    </w:p>
    <w:p w:rsidR="00D5281D" w:rsidRPr="00367C86" w:rsidRDefault="00520762" w:rsidP="00367C86">
      <w:pPr>
        <w:ind w:left="0" w:firstLine="0"/>
        <w:rPr>
          <w:rFonts w:ascii="Arial" w:hAnsi="Arial" w:cs="Arial"/>
          <w:sz w:val="20"/>
          <w:szCs w:val="20"/>
        </w:rPr>
      </w:pPr>
      <w:r w:rsidRPr="00367C86">
        <w:rPr>
          <w:rFonts w:ascii="Arial" w:hAnsi="Arial" w:cs="Arial"/>
          <w:sz w:val="20"/>
          <w:szCs w:val="20"/>
        </w:rPr>
        <w:t>A la fois consommateurs et citoyens. Consomm</w:t>
      </w:r>
      <w:r w:rsidR="001D4568" w:rsidRPr="00367C86">
        <w:rPr>
          <w:rFonts w:ascii="Arial" w:hAnsi="Arial" w:cs="Arial"/>
          <w:sz w:val="20"/>
          <w:szCs w:val="20"/>
        </w:rPr>
        <w:t xml:space="preserve">ateurs, ils achètent et </w:t>
      </w:r>
      <w:r w:rsidRPr="00367C86">
        <w:rPr>
          <w:rFonts w:ascii="Arial" w:hAnsi="Arial" w:cs="Arial"/>
          <w:sz w:val="20"/>
          <w:szCs w:val="20"/>
        </w:rPr>
        <w:t xml:space="preserve">veulent que ça fonctionne. </w:t>
      </w:r>
      <w:r w:rsidR="00D5281D" w:rsidRPr="00367C86">
        <w:rPr>
          <w:rFonts w:ascii="Arial" w:hAnsi="Arial" w:cs="Arial"/>
          <w:sz w:val="20"/>
          <w:szCs w:val="20"/>
        </w:rPr>
        <w:t>Quoi de plus proche et familier aujourd’hui pour une majorité d’entre nous qui stockons nos vies (photos, échanges intimes, contacts, plannings etc) dans notre téléphone « intelligent »</w:t>
      </w:r>
      <w:r w:rsidR="00D5281D" w:rsidRPr="00367C86">
        <w:rPr>
          <w:rStyle w:val="Appelnotedebasdep"/>
          <w:rFonts w:ascii="Arial" w:hAnsi="Arial" w:cs="Arial"/>
          <w:sz w:val="20"/>
          <w:szCs w:val="20"/>
        </w:rPr>
        <w:footnoteReference w:id="88"/>
      </w:r>
      <w:r w:rsidR="00D5281D" w:rsidRPr="00367C86">
        <w:rPr>
          <w:rFonts w:ascii="Arial" w:hAnsi="Arial" w:cs="Arial"/>
          <w:sz w:val="20"/>
          <w:szCs w:val="20"/>
        </w:rPr>
        <w:t>, qui en faisons nos yeux et notre mémoire, notre lien au monde, le substitut de notre présence ?</w:t>
      </w:r>
    </w:p>
    <w:p w:rsidR="007E2422" w:rsidRPr="00367C86" w:rsidRDefault="00520762" w:rsidP="00367C86">
      <w:pPr>
        <w:ind w:left="0" w:firstLine="0"/>
        <w:rPr>
          <w:rFonts w:ascii="Arial" w:hAnsi="Arial" w:cs="Arial"/>
          <w:sz w:val="20"/>
          <w:szCs w:val="20"/>
        </w:rPr>
      </w:pPr>
      <w:r w:rsidRPr="00367C86">
        <w:rPr>
          <w:rFonts w:ascii="Arial" w:hAnsi="Arial" w:cs="Arial"/>
          <w:sz w:val="20"/>
          <w:szCs w:val="20"/>
        </w:rPr>
        <w:t>Citoyens, ils ne veulent pas d’antennes-relais à côté de chez eux (NIMBY</w:t>
      </w:r>
      <w:r w:rsidR="001D4568" w:rsidRPr="00367C86">
        <w:rPr>
          <w:rStyle w:val="Appelnotedebasdep"/>
          <w:rFonts w:ascii="Arial" w:hAnsi="Arial" w:cs="Arial"/>
          <w:sz w:val="20"/>
          <w:szCs w:val="20"/>
        </w:rPr>
        <w:footnoteReference w:id="89"/>
      </w:r>
      <w:r w:rsidR="001D4568" w:rsidRPr="00367C86">
        <w:rPr>
          <w:rFonts w:ascii="Arial" w:hAnsi="Arial" w:cs="Arial"/>
          <w:sz w:val="20"/>
          <w:szCs w:val="20"/>
        </w:rPr>
        <w:t>) et signent des pétition</w:t>
      </w:r>
      <w:r w:rsidR="00524182" w:rsidRPr="00367C86">
        <w:rPr>
          <w:rFonts w:ascii="Arial" w:hAnsi="Arial" w:cs="Arial"/>
          <w:sz w:val="20"/>
          <w:szCs w:val="20"/>
        </w:rPr>
        <w:t>s</w:t>
      </w:r>
      <w:r w:rsidR="00D5281D" w:rsidRPr="00367C86">
        <w:rPr>
          <w:rFonts w:ascii="Arial" w:hAnsi="Arial" w:cs="Arial"/>
          <w:sz w:val="20"/>
          <w:szCs w:val="20"/>
        </w:rPr>
        <w:t>. C</w:t>
      </w:r>
      <w:r w:rsidR="001D4568" w:rsidRPr="00367C86">
        <w:rPr>
          <w:rFonts w:ascii="Arial" w:hAnsi="Arial" w:cs="Arial"/>
          <w:sz w:val="20"/>
          <w:szCs w:val="20"/>
        </w:rPr>
        <w:t xml:space="preserve">ertains « croient » aux effets sur la santé des technologies sans fil, d’autres n’y « croient pas ». </w:t>
      </w:r>
      <w:r w:rsidR="00D94B82" w:rsidRPr="00367C86">
        <w:rPr>
          <w:rFonts w:ascii="Arial" w:hAnsi="Arial" w:cs="Arial"/>
          <w:sz w:val="20"/>
          <w:szCs w:val="20"/>
        </w:rPr>
        <w:t>Désensibilisation progressive à l’alerte : cela fait des années qu’existe la controverse et certains discours sont trop catastrophistes pour être entendables</w:t>
      </w:r>
      <w:r w:rsidR="00D5281D" w:rsidRPr="00367C86">
        <w:rPr>
          <w:rFonts w:ascii="Arial" w:hAnsi="Arial" w:cs="Arial"/>
          <w:sz w:val="20"/>
          <w:szCs w:val="20"/>
        </w:rPr>
        <w:t>.</w:t>
      </w:r>
      <w:r w:rsidR="00D94B82" w:rsidRPr="00367C86">
        <w:rPr>
          <w:rFonts w:ascii="Arial" w:hAnsi="Arial" w:cs="Arial"/>
          <w:sz w:val="20"/>
          <w:szCs w:val="20"/>
        </w:rPr>
        <w:t xml:space="preserve"> </w:t>
      </w:r>
      <w:r w:rsidR="00F43255" w:rsidRPr="00367C86">
        <w:rPr>
          <w:rFonts w:ascii="Arial" w:hAnsi="Arial" w:cs="Arial"/>
          <w:sz w:val="20"/>
          <w:szCs w:val="20"/>
        </w:rPr>
        <w:t>Malade, moi ? Nan…ou dans longtemps, on n’y pense pas</w:t>
      </w:r>
      <w:r w:rsidR="00D94B82" w:rsidRPr="00367C86">
        <w:rPr>
          <w:rFonts w:ascii="Arial" w:hAnsi="Arial" w:cs="Arial"/>
          <w:sz w:val="20"/>
          <w:szCs w:val="20"/>
        </w:rPr>
        <w:t xml:space="preserve"> </w:t>
      </w:r>
      <w:r w:rsidR="00524182" w:rsidRPr="00367C86">
        <w:rPr>
          <w:rFonts w:ascii="Arial" w:hAnsi="Arial" w:cs="Arial"/>
          <w:sz w:val="20"/>
          <w:szCs w:val="20"/>
        </w:rPr>
        <w:t xml:space="preserve">Déni. </w:t>
      </w:r>
      <w:r w:rsidR="007E2422" w:rsidRPr="00367C86">
        <w:rPr>
          <w:rFonts w:ascii="Arial" w:hAnsi="Arial" w:cs="Arial"/>
          <w:sz w:val="20"/>
          <w:szCs w:val="20"/>
        </w:rPr>
        <w:t>Culture du pro</w:t>
      </w:r>
      <w:r w:rsidR="00367C86">
        <w:rPr>
          <w:rFonts w:ascii="Arial" w:hAnsi="Arial" w:cs="Arial"/>
          <w:sz w:val="20"/>
          <w:szCs w:val="20"/>
        </w:rPr>
        <w:t>grès. Technicité du sujet.</w:t>
      </w:r>
    </w:p>
    <w:p w:rsidR="00D94B82" w:rsidRPr="00367C86" w:rsidRDefault="007E2422" w:rsidP="00367C86">
      <w:pPr>
        <w:ind w:left="0" w:firstLine="0"/>
        <w:rPr>
          <w:rFonts w:ascii="Arial" w:hAnsi="Arial" w:cs="Arial"/>
          <w:sz w:val="20"/>
          <w:szCs w:val="20"/>
        </w:rPr>
      </w:pPr>
      <w:r w:rsidRPr="00367C86">
        <w:rPr>
          <w:rFonts w:ascii="Arial" w:hAnsi="Arial" w:cs="Arial"/>
          <w:sz w:val="20"/>
          <w:szCs w:val="20"/>
        </w:rPr>
        <w:t>Et invisibilisation du problème.</w:t>
      </w:r>
      <w:r w:rsidR="00184334" w:rsidRPr="00367C86">
        <w:rPr>
          <w:rFonts w:ascii="Arial" w:hAnsi="Arial" w:cs="Arial"/>
          <w:sz w:val="20"/>
          <w:szCs w:val="20"/>
        </w:rPr>
        <w:t xml:space="preserve"> Parallèlement au déploiement du « phénomène » Technologies sans fil se propage le phénomène que le sociologue Alexandre Piéroni a nommé « le syndrome isolateur »</w:t>
      </w:r>
      <w:r w:rsidR="00184334" w:rsidRPr="00367C86">
        <w:rPr>
          <w:rStyle w:val="Appelnotedebasdep"/>
          <w:rFonts w:ascii="Arial" w:hAnsi="Arial" w:cs="Arial"/>
          <w:sz w:val="20"/>
          <w:szCs w:val="20"/>
        </w:rPr>
        <w:footnoteReference w:id="90"/>
      </w:r>
      <w:r w:rsidR="00184334" w:rsidRPr="00367C86">
        <w:rPr>
          <w:rFonts w:ascii="Arial" w:hAnsi="Arial" w:cs="Arial"/>
          <w:sz w:val="20"/>
          <w:szCs w:val="20"/>
        </w:rPr>
        <w:t>.</w:t>
      </w:r>
    </w:p>
    <w:p w:rsidR="00BA5FBC" w:rsidRPr="00367C86" w:rsidRDefault="00184334" w:rsidP="00367C86">
      <w:pPr>
        <w:ind w:left="0" w:firstLine="0"/>
        <w:rPr>
          <w:rFonts w:ascii="Arial" w:hAnsi="Arial" w:cs="Arial"/>
          <w:sz w:val="20"/>
          <w:szCs w:val="20"/>
        </w:rPr>
      </w:pPr>
      <w:r w:rsidRPr="00367C86">
        <w:rPr>
          <w:rFonts w:ascii="Arial" w:hAnsi="Arial" w:cs="Arial"/>
          <w:sz w:val="20"/>
          <w:szCs w:val="20"/>
        </w:rPr>
        <w:t>En effet, d</w:t>
      </w:r>
      <w:r w:rsidR="001D4568" w:rsidRPr="00367C86">
        <w:rPr>
          <w:rFonts w:ascii="Arial" w:hAnsi="Arial" w:cs="Arial"/>
          <w:sz w:val="20"/>
          <w:szCs w:val="20"/>
        </w:rPr>
        <w:t>es personnes deviennent électrohypersensibles</w:t>
      </w:r>
      <w:r w:rsidR="007E2422" w:rsidRPr="00367C86">
        <w:rPr>
          <w:rStyle w:val="Appelnotedebasdep"/>
          <w:rFonts w:ascii="Arial" w:hAnsi="Arial" w:cs="Arial"/>
          <w:sz w:val="20"/>
          <w:szCs w:val="20"/>
        </w:rPr>
        <w:footnoteReference w:id="91"/>
      </w:r>
      <w:r w:rsidR="001D4568" w:rsidRPr="00367C86">
        <w:rPr>
          <w:rFonts w:ascii="Arial" w:hAnsi="Arial" w:cs="Arial"/>
          <w:sz w:val="20"/>
          <w:szCs w:val="20"/>
        </w:rPr>
        <w:t xml:space="preserve"> (des riverains ? des professionnels plus particulièrement exposés ?). </w:t>
      </w:r>
      <w:r w:rsidR="007E2422" w:rsidRPr="00367C86">
        <w:rPr>
          <w:rFonts w:ascii="Arial" w:hAnsi="Arial" w:cs="Arial"/>
          <w:sz w:val="20"/>
          <w:szCs w:val="20"/>
        </w:rPr>
        <w:t xml:space="preserve">Elles adoptent des stratégies d’évitement, se protègent, voire se retirent de la vie sociale. </w:t>
      </w:r>
      <w:r w:rsidR="001D4568" w:rsidRPr="00367C86">
        <w:rPr>
          <w:rFonts w:ascii="Arial" w:hAnsi="Arial" w:cs="Arial"/>
          <w:sz w:val="20"/>
          <w:szCs w:val="20"/>
        </w:rPr>
        <w:t>Avec les proches, ça p</w:t>
      </w:r>
      <w:r w:rsidR="007E2422" w:rsidRPr="00367C86">
        <w:rPr>
          <w:rFonts w:ascii="Arial" w:hAnsi="Arial" w:cs="Arial"/>
          <w:sz w:val="20"/>
          <w:szCs w:val="20"/>
        </w:rPr>
        <w:t>asse ou ça casse. Si ça passe, c</w:t>
      </w:r>
      <w:r w:rsidR="001D4568" w:rsidRPr="00367C86">
        <w:rPr>
          <w:rFonts w:ascii="Arial" w:hAnsi="Arial" w:cs="Arial"/>
          <w:sz w:val="20"/>
          <w:szCs w:val="20"/>
        </w:rPr>
        <w:t>es proches deviennent aidants et parfois même s’engagent. Diverses associations ont vu le jour</w:t>
      </w:r>
      <w:r w:rsidR="00D5281D" w:rsidRPr="00367C86">
        <w:rPr>
          <w:rFonts w:ascii="Arial" w:hAnsi="Arial" w:cs="Arial"/>
          <w:sz w:val="20"/>
          <w:szCs w:val="20"/>
        </w:rPr>
        <w:t>, impossible de les citer toutes</w:t>
      </w:r>
      <w:r w:rsidR="001D4568" w:rsidRPr="00367C86">
        <w:rPr>
          <w:rFonts w:ascii="Arial" w:hAnsi="Arial" w:cs="Arial"/>
          <w:sz w:val="20"/>
          <w:szCs w:val="20"/>
        </w:rPr>
        <w:t> : la première, Priartem, en 2000, puis Robin des Toits, le Criirem, Cœur d’EHS, Les citoyens éclairés, POEM26</w:t>
      </w:r>
      <w:r w:rsidR="001D4568" w:rsidRPr="00367C86">
        <w:rPr>
          <w:rStyle w:val="Appelnotedebasdep"/>
          <w:rFonts w:ascii="Arial" w:hAnsi="Arial" w:cs="Arial"/>
          <w:sz w:val="20"/>
          <w:szCs w:val="20"/>
        </w:rPr>
        <w:footnoteReference w:id="92"/>
      </w:r>
      <w:r w:rsidR="001D4568" w:rsidRPr="00367C86">
        <w:rPr>
          <w:rFonts w:ascii="Arial" w:hAnsi="Arial" w:cs="Arial"/>
          <w:sz w:val="20"/>
          <w:szCs w:val="20"/>
        </w:rPr>
        <w:t xml:space="preserve"> qui réclament des lieux de vie sains</w:t>
      </w:r>
      <w:r w:rsidR="001D4568" w:rsidRPr="00367C86">
        <w:rPr>
          <w:rStyle w:val="Appelnotedebasdep"/>
          <w:rFonts w:ascii="Arial" w:hAnsi="Arial" w:cs="Arial"/>
          <w:sz w:val="20"/>
          <w:szCs w:val="20"/>
        </w:rPr>
        <w:footnoteReference w:id="93"/>
      </w:r>
      <w:r w:rsidR="001D4568" w:rsidRPr="00367C86">
        <w:rPr>
          <w:rFonts w:ascii="Arial" w:hAnsi="Arial" w:cs="Arial"/>
          <w:sz w:val="20"/>
          <w:szCs w:val="20"/>
        </w:rPr>
        <w:t>, le droit à une vie « </w:t>
      </w:r>
      <w:r w:rsidR="000172AE" w:rsidRPr="00367C86">
        <w:rPr>
          <w:rFonts w:ascii="Arial" w:hAnsi="Arial" w:cs="Arial"/>
          <w:sz w:val="20"/>
          <w:szCs w:val="20"/>
        </w:rPr>
        <w:t>ordinaire</w:t>
      </w:r>
      <w:r w:rsidR="001D4568" w:rsidRPr="00367C86">
        <w:rPr>
          <w:rFonts w:ascii="Arial" w:hAnsi="Arial" w:cs="Arial"/>
          <w:sz w:val="20"/>
          <w:szCs w:val="20"/>
        </w:rPr>
        <w:t> »</w:t>
      </w:r>
      <w:r w:rsidR="000172AE" w:rsidRPr="00367C86">
        <w:rPr>
          <w:rStyle w:val="Appelnotedebasdep"/>
          <w:rFonts w:ascii="Arial" w:hAnsi="Arial" w:cs="Arial"/>
          <w:sz w:val="20"/>
          <w:szCs w:val="20"/>
        </w:rPr>
        <w:footnoteReference w:id="94"/>
      </w:r>
      <w:r w:rsidR="001D4568" w:rsidRPr="00367C86">
        <w:rPr>
          <w:rFonts w:ascii="Arial" w:hAnsi="Arial" w:cs="Arial"/>
          <w:sz w:val="20"/>
          <w:szCs w:val="20"/>
        </w:rPr>
        <w:t xml:space="preserve">, ou travaillent à faire émerger </w:t>
      </w:r>
      <w:r w:rsidR="00367C86">
        <w:rPr>
          <w:rFonts w:ascii="Arial" w:hAnsi="Arial" w:cs="Arial"/>
          <w:sz w:val="20"/>
          <w:szCs w:val="20"/>
        </w:rPr>
        <w:t xml:space="preserve">le sujet dans les institutions. Des bénévoles qui s’investissent sans compter. </w:t>
      </w:r>
      <w:r w:rsidR="001D4568" w:rsidRPr="00367C86">
        <w:rPr>
          <w:rFonts w:ascii="Arial" w:hAnsi="Arial" w:cs="Arial"/>
          <w:sz w:val="20"/>
          <w:szCs w:val="20"/>
        </w:rPr>
        <w:t>Et puis il y a tous ceux qui ne savent pas, qui ne maîtrisent pas leur environnement électromagnétique (comment utiliser inte</w:t>
      </w:r>
      <w:r w:rsidR="000172AE" w:rsidRPr="00367C86">
        <w:rPr>
          <w:rFonts w:ascii="Arial" w:hAnsi="Arial" w:cs="Arial"/>
          <w:sz w:val="20"/>
          <w:szCs w:val="20"/>
        </w:rPr>
        <w:t>rnet en filaire, par exemple</w:t>
      </w:r>
      <w:r w:rsidR="007D2A12" w:rsidRPr="00367C86">
        <w:rPr>
          <w:rFonts w:ascii="Arial" w:hAnsi="Arial" w:cs="Arial"/>
          <w:sz w:val="20"/>
          <w:szCs w:val="20"/>
        </w:rPr>
        <w:t>, même sur smartphone c’est possible</w:t>
      </w:r>
      <w:r w:rsidR="000172AE" w:rsidRPr="00367C86">
        <w:rPr>
          <w:rFonts w:ascii="Arial" w:hAnsi="Arial" w:cs="Arial"/>
          <w:sz w:val="20"/>
          <w:szCs w:val="20"/>
        </w:rPr>
        <w:t>) ou</w:t>
      </w:r>
      <w:r w:rsidR="001D4568" w:rsidRPr="00367C86">
        <w:rPr>
          <w:rFonts w:ascii="Arial" w:hAnsi="Arial" w:cs="Arial"/>
          <w:sz w:val="20"/>
          <w:szCs w:val="20"/>
        </w:rPr>
        <w:t xml:space="preserve"> </w:t>
      </w:r>
      <w:r w:rsidR="00BD6C00" w:rsidRPr="00367C86">
        <w:rPr>
          <w:rFonts w:ascii="Arial" w:hAnsi="Arial" w:cs="Arial"/>
          <w:sz w:val="20"/>
          <w:szCs w:val="20"/>
        </w:rPr>
        <w:t xml:space="preserve">encore </w:t>
      </w:r>
      <w:r w:rsidR="007D2A12" w:rsidRPr="00367C86">
        <w:rPr>
          <w:rFonts w:ascii="Arial" w:hAnsi="Arial" w:cs="Arial"/>
          <w:sz w:val="20"/>
          <w:szCs w:val="20"/>
        </w:rPr>
        <w:t>les enfants q</w:t>
      </w:r>
      <w:r w:rsidRPr="00367C86">
        <w:rPr>
          <w:rFonts w:ascii="Arial" w:hAnsi="Arial" w:cs="Arial"/>
          <w:sz w:val="20"/>
          <w:szCs w:val="20"/>
        </w:rPr>
        <w:t>ui grandissent dans ce monde que nous leur laissons.</w:t>
      </w:r>
    </w:p>
    <w:p w:rsidR="00B0614E" w:rsidRPr="00367C86" w:rsidRDefault="003F2599" w:rsidP="00367C86">
      <w:pPr>
        <w:ind w:left="0" w:firstLine="0"/>
        <w:rPr>
          <w:rFonts w:ascii="Arial" w:hAnsi="Arial" w:cs="Arial"/>
          <w:sz w:val="20"/>
          <w:szCs w:val="20"/>
        </w:rPr>
      </w:pPr>
      <w:r w:rsidRPr="00367C86">
        <w:rPr>
          <w:rFonts w:ascii="Arial" w:hAnsi="Arial" w:cs="Arial"/>
          <w:sz w:val="20"/>
          <w:szCs w:val="20"/>
        </w:rPr>
        <w:t>Par ailleurs</w:t>
      </w:r>
      <w:r w:rsidR="001D4568" w:rsidRPr="00367C86">
        <w:rPr>
          <w:rFonts w:ascii="Arial" w:hAnsi="Arial" w:cs="Arial"/>
          <w:sz w:val="20"/>
          <w:szCs w:val="20"/>
        </w:rPr>
        <w:t xml:space="preserve">, dans les campagnes il y a des vaches, </w:t>
      </w:r>
      <w:r w:rsidRPr="00367C86">
        <w:rPr>
          <w:rFonts w:ascii="Arial" w:hAnsi="Arial" w:cs="Arial"/>
          <w:sz w:val="20"/>
          <w:szCs w:val="20"/>
        </w:rPr>
        <w:t xml:space="preserve">des veaux, </w:t>
      </w:r>
      <w:r w:rsidR="001D4568" w:rsidRPr="00367C86">
        <w:rPr>
          <w:rFonts w:ascii="Arial" w:hAnsi="Arial" w:cs="Arial"/>
          <w:sz w:val="20"/>
          <w:szCs w:val="20"/>
        </w:rPr>
        <w:t>des</w:t>
      </w:r>
      <w:r w:rsidRPr="00367C86">
        <w:rPr>
          <w:rFonts w:ascii="Arial" w:hAnsi="Arial" w:cs="Arial"/>
          <w:sz w:val="20"/>
          <w:szCs w:val="20"/>
        </w:rPr>
        <w:t xml:space="preserve"> lapins, qui meurent</w:t>
      </w:r>
      <w:r w:rsidRPr="00367C86">
        <w:rPr>
          <w:rStyle w:val="Appelnotedebasdep"/>
          <w:rFonts w:ascii="Arial" w:hAnsi="Arial" w:cs="Arial"/>
          <w:sz w:val="20"/>
          <w:szCs w:val="20"/>
        </w:rPr>
        <w:footnoteReference w:id="95"/>
      </w:r>
      <w:r w:rsidR="0064686A" w:rsidRPr="00367C86">
        <w:rPr>
          <w:rFonts w:ascii="Arial" w:hAnsi="Arial" w:cs="Arial"/>
          <w:sz w:val="20"/>
          <w:szCs w:val="20"/>
        </w:rPr>
        <w:t xml:space="preserve"> - </w:t>
      </w:r>
      <w:r w:rsidRPr="00367C86">
        <w:rPr>
          <w:rFonts w:ascii="Arial" w:hAnsi="Arial" w:cs="Arial"/>
          <w:sz w:val="20"/>
          <w:szCs w:val="20"/>
        </w:rPr>
        <w:t>oui : c’</w:t>
      </w:r>
      <w:r w:rsidR="0064686A" w:rsidRPr="00367C86">
        <w:rPr>
          <w:rFonts w:ascii="Arial" w:hAnsi="Arial" w:cs="Arial"/>
          <w:sz w:val="20"/>
          <w:szCs w:val="20"/>
        </w:rPr>
        <w:t>est surprenant -</w:t>
      </w:r>
      <w:r w:rsidRPr="00367C86">
        <w:rPr>
          <w:rFonts w:ascii="Arial" w:hAnsi="Arial" w:cs="Arial"/>
          <w:sz w:val="20"/>
          <w:szCs w:val="20"/>
        </w:rPr>
        <w:t xml:space="preserve"> et des éleveurs qui, pour certains, </w:t>
      </w:r>
      <w:r w:rsidR="001D4568" w:rsidRPr="00367C86">
        <w:rPr>
          <w:rFonts w:ascii="Arial" w:hAnsi="Arial" w:cs="Arial"/>
          <w:sz w:val="20"/>
          <w:szCs w:val="20"/>
        </w:rPr>
        <w:t>deviennent électrohypersensibles</w:t>
      </w:r>
      <w:r w:rsidR="000172AE" w:rsidRPr="00367C86">
        <w:rPr>
          <w:rFonts w:ascii="Arial" w:hAnsi="Arial" w:cs="Arial"/>
          <w:sz w:val="20"/>
          <w:szCs w:val="20"/>
        </w:rPr>
        <w:t>.</w:t>
      </w:r>
      <w:r w:rsidR="00D47AA2" w:rsidRPr="00367C86">
        <w:rPr>
          <w:rFonts w:ascii="Arial" w:hAnsi="Arial" w:cs="Arial"/>
          <w:sz w:val="20"/>
          <w:szCs w:val="20"/>
        </w:rPr>
        <w:t xml:space="preserve"> De leur mobilisation est née une association, l’ANAST. Le Ministère de l’Agriculture a diligenté une enquête en 2023, recueillant plus de 2400 réponses mais les connaissances scientifiques actuelles ne permettent pas d’éta</w:t>
      </w:r>
      <w:r w:rsidR="0064686A" w:rsidRPr="00367C86">
        <w:rPr>
          <w:rFonts w:ascii="Arial" w:hAnsi="Arial" w:cs="Arial"/>
          <w:sz w:val="20"/>
          <w:szCs w:val="20"/>
        </w:rPr>
        <w:t>blir de lien de causalité avec leur exposition</w:t>
      </w:r>
      <w:r w:rsidR="00BD6C00" w:rsidRPr="00367C86">
        <w:rPr>
          <w:rFonts w:ascii="Arial" w:hAnsi="Arial" w:cs="Arial"/>
          <w:sz w:val="20"/>
          <w:szCs w:val="20"/>
        </w:rPr>
        <w:t>…on tourne en rond.</w:t>
      </w:r>
      <w:r w:rsidR="0064686A" w:rsidRPr="00367C86">
        <w:rPr>
          <w:rFonts w:ascii="Arial" w:hAnsi="Arial" w:cs="Arial"/>
          <w:sz w:val="20"/>
          <w:szCs w:val="20"/>
        </w:rPr>
        <w:t xml:space="preserve"> </w:t>
      </w:r>
    </w:p>
    <w:p w:rsidR="00577327" w:rsidRPr="00367C86" w:rsidRDefault="0064686A" w:rsidP="00367C86">
      <w:pPr>
        <w:ind w:left="0" w:firstLine="0"/>
        <w:rPr>
          <w:rFonts w:ascii="Arial" w:hAnsi="Arial" w:cs="Arial"/>
          <w:sz w:val="20"/>
          <w:szCs w:val="20"/>
        </w:rPr>
      </w:pPr>
      <w:r w:rsidRPr="00367C86">
        <w:rPr>
          <w:rFonts w:ascii="Arial" w:hAnsi="Arial" w:cs="Arial"/>
          <w:sz w:val="20"/>
          <w:szCs w:val="20"/>
        </w:rPr>
        <w:lastRenderedPageBreak/>
        <w:t>L</w:t>
      </w:r>
      <w:r w:rsidR="006F34DF" w:rsidRPr="00367C86">
        <w:rPr>
          <w:rFonts w:ascii="Arial" w:hAnsi="Arial" w:cs="Arial"/>
          <w:sz w:val="20"/>
          <w:szCs w:val="20"/>
        </w:rPr>
        <w:t>a science observationnelle pourrait se pencher sur l’émergence de l’électro</w:t>
      </w:r>
      <w:r w:rsidR="003F2599" w:rsidRPr="00367C86">
        <w:rPr>
          <w:rFonts w:ascii="Arial" w:hAnsi="Arial" w:cs="Arial"/>
          <w:sz w:val="20"/>
          <w:szCs w:val="20"/>
        </w:rPr>
        <w:t>hypersensibilité dans l</w:t>
      </w:r>
      <w:r w:rsidR="007D2A12" w:rsidRPr="00367C86">
        <w:rPr>
          <w:rFonts w:ascii="Arial" w:hAnsi="Arial" w:cs="Arial"/>
          <w:sz w:val="20"/>
          <w:szCs w:val="20"/>
        </w:rPr>
        <w:t>e corpus d</w:t>
      </w:r>
      <w:r w:rsidR="003F2599" w:rsidRPr="00367C86">
        <w:rPr>
          <w:rFonts w:ascii="Arial" w:hAnsi="Arial" w:cs="Arial"/>
          <w:sz w:val="20"/>
          <w:szCs w:val="20"/>
        </w:rPr>
        <w:t>es arts (cinéma, littérature, BD</w:t>
      </w:r>
      <w:r w:rsidR="00D47AA2" w:rsidRPr="00367C86">
        <w:rPr>
          <w:rFonts w:ascii="Arial" w:hAnsi="Arial" w:cs="Arial"/>
          <w:sz w:val="20"/>
          <w:szCs w:val="20"/>
        </w:rPr>
        <w:t>, photo,</w:t>
      </w:r>
      <w:r w:rsidR="00BD6C00" w:rsidRPr="00367C86">
        <w:rPr>
          <w:rFonts w:ascii="Arial" w:hAnsi="Arial" w:cs="Arial"/>
          <w:sz w:val="20"/>
          <w:szCs w:val="20"/>
        </w:rPr>
        <w:t xml:space="preserve"> par ex</w:t>
      </w:r>
      <w:r w:rsidR="00184334" w:rsidRPr="00367C86">
        <w:rPr>
          <w:rFonts w:ascii="Arial" w:hAnsi="Arial" w:cs="Arial"/>
          <w:sz w:val="20"/>
          <w:szCs w:val="20"/>
        </w:rPr>
        <w:t>e</w:t>
      </w:r>
      <w:r w:rsidR="00BD6C00" w:rsidRPr="00367C86">
        <w:rPr>
          <w:rFonts w:ascii="Arial" w:hAnsi="Arial" w:cs="Arial"/>
          <w:sz w:val="20"/>
          <w:szCs w:val="20"/>
        </w:rPr>
        <w:t>mple</w:t>
      </w:r>
      <w:r w:rsidR="003F2599" w:rsidRPr="00367C86">
        <w:rPr>
          <w:rFonts w:ascii="Arial" w:hAnsi="Arial" w:cs="Arial"/>
          <w:sz w:val="20"/>
          <w:szCs w:val="20"/>
        </w:rPr>
        <w:t>).</w:t>
      </w:r>
      <w:r w:rsidRPr="00367C86">
        <w:rPr>
          <w:rFonts w:ascii="Arial" w:hAnsi="Arial" w:cs="Arial"/>
          <w:sz w:val="20"/>
          <w:szCs w:val="20"/>
        </w:rPr>
        <w:t xml:space="preserve"> </w:t>
      </w:r>
      <w:r w:rsidR="007B2255" w:rsidRPr="00367C86">
        <w:rPr>
          <w:rFonts w:ascii="Arial" w:hAnsi="Arial" w:cs="Arial"/>
          <w:sz w:val="20"/>
          <w:szCs w:val="20"/>
        </w:rPr>
        <w:t>Ces gens-là ne sont pas nés EHS, ils le sont devenus.</w:t>
      </w:r>
    </w:p>
    <w:p w:rsidR="00BB6269" w:rsidRPr="00367C86" w:rsidRDefault="00BB6269" w:rsidP="00367C86">
      <w:pPr>
        <w:rPr>
          <w:rFonts w:ascii="Arial" w:hAnsi="Arial" w:cs="Arial"/>
          <w:sz w:val="20"/>
          <w:szCs w:val="20"/>
        </w:rPr>
      </w:pPr>
    </w:p>
    <w:p w:rsidR="004B59FF" w:rsidRPr="00367C86" w:rsidRDefault="004B59FF" w:rsidP="00367C86">
      <w:pPr>
        <w:ind w:left="0" w:firstLine="0"/>
        <w:rPr>
          <w:rFonts w:ascii="Arial" w:hAnsi="Arial" w:cs="Arial"/>
          <w:sz w:val="20"/>
          <w:szCs w:val="20"/>
        </w:rPr>
      </w:pPr>
      <w:r w:rsidRPr="00367C86">
        <w:rPr>
          <w:rFonts w:ascii="Arial" w:hAnsi="Arial" w:cs="Arial"/>
          <w:sz w:val="20"/>
          <w:szCs w:val="20"/>
        </w:rPr>
        <w:t xml:space="preserve">Dans </w:t>
      </w:r>
      <w:r w:rsidR="00BD6C00" w:rsidRPr="00367C86">
        <w:rPr>
          <w:rFonts w:ascii="Arial" w:hAnsi="Arial" w:cs="Arial"/>
          <w:sz w:val="20"/>
          <w:szCs w:val="20"/>
        </w:rPr>
        <w:t>ce contexte</w:t>
      </w:r>
      <w:r w:rsidRPr="00367C86">
        <w:rPr>
          <w:rFonts w:ascii="Arial" w:hAnsi="Arial" w:cs="Arial"/>
          <w:sz w:val="20"/>
          <w:szCs w:val="20"/>
        </w:rPr>
        <w:t>, d</w:t>
      </w:r>
      <w:r w:rsidR="00BB6269" w:rsidRPr="00367C86">
        <w:rPr>
          <w:rFonts w:ascii="Arial" w:hAnsi="Arial" w:cs="Arial"/>
          <w:sz w:val="20"/>
          <w:szCs w:val="20"/>
        </w:rPr>
        <w:t>es médecins</w:t>
      </w:r>
      <w:r w:rsidR="00EC5DDD" w:rsidRPr="00367C86">
        <w:rPr>
          <w:rFonts w:ascii="Arial" w:hAnsi="Arial" w:cs="Arial"/>
          <w:sz w:val="20"/>
          <w:szCs w:val="20"/>
        </w:rPr>
        <w:t xml:space="preserve"> (</w:t>
      </w:r>
      <w:r w:rsidR="00BB6269" w:rsidRPr="00367C86">
        <w:rPr>
          <w:rFonts w:ascii="Arial" w:hAnsi="Arial" w:cs="Arial"/>
          <w:sz w:val="20"/>
          <w:szCs w:val="20"/>
        </w:rPr>
        <w:t>qui sur le terrain sont de plus en plus confrontés aux maladies idiopathiques environnementales</w:t>
      </w:r>
      <w:r w:rsidR="00EC5DDD" w:rsidRPr="00367C86">
        <w:rPr>
          <w:rFonts w:ascii="Arial" w:hAnsi="Arial" w:cs="Arial"/>
          <w:sz w:val="20"/>
          <w:szCs w:val="20"/>
        </w:rPr>
        <w:t>)</w:t>
      </w:r>
      <w:r w:rsidR="00BB6269" w:rsidRPr="00367C86">
        <w:rPr>
          <w:rFonts w:ascii="Arial" w:hAnsi="Arial" w:cs="Arial"/>
          <w:sz w:val="20"/>
          <w:szCs w:val="20"/>
        </w:rPr>
        <w:t xml:space="preserve"> et des scientifiques</w:t>
      </w:r>
      <w:r w:rsidR="00EC5DDD" w:rsidRPr="00367C86">
        <w:rPr>
          <w:rFonts w:ascii="Arial" w:hAnsi="Arial" w:cs="Arial"/>
          <w:sz w:val="20"/>
          <w:szCs w:val="20"/>
        </w:rPr>
        <w:t xml:space="preserve"> (</w:t>
      </w:r>
      <w:r w:rsidRPr="00367C86">
        <w:rPr>
          <w:rFonts w:ascii="Arial" w:hAnsi="Arial" w:cs="Arial"/>
          <w:sz w:val="20"/>
          <w:szCs w:val="20"/>
        </w:rPr>
        <w:t>qui à la lumière de leurs observat</w:t>
      </w:r>
      <w:r w:rsidR="00D1382B" w:rsidRPr="00367C86">
        <w:rPr>
          <w:rFonts w:ascii="Arial" w:hAnsi="Arial" w:cs="Arial"/>
          <w:sz w:val="20"/>
          <w:szCs w:val="20"/>
        </w:rPr>
        <w:t>ions sont inquiets</w:t>
      </w:r>
      <w:r w:rsidR="00EC5DDD" w:rsidRPr="00367C86">
        <w:rPr>
          <w:rFonts w:ascii="Arial" w:hAnsi="Arial" w:cs="Arial"/>
          <w:sz w:val="20"/>
          <w:szCs w:val="20"/>
        </w:rPr>
        <w:t xml:space="preserve">) </w:t>
      </w:r>
      <w:r w:rsidRPr="00367C86">
        <w:rPr>
          <w:rFonts w:ascii="Arial" w:hAnsi="Arial" w:cs="Arial"/>
          <w:sz w:val="20"/>
          <w:szCs w:val="20"/>
        </w:rPr>
        <w:t>se mobilisent, s’organisent</w:t>
      </w:r>
      <w:r w:rsidR="00EC5DDD" w:rsidRPr="00367C86">
        <w:rPr>
          <w:rFonts w:ascii="Arial" w:hAnsi="Arial" w:cs="Arial"/>
          <w:sz w:val="20"/>
          <w:szCs w:val="20"/>
        </w:rPr>
        <w:t xml:space="preserve"> et lancent des alertes : c</w:t>
      </w:r>
      <w:r w:rsidRPr="00367C86">
        <w:rPr>
          <w:rFonts w:ascii="Arial" w:hAnsi="Arial" w:cs="Arial"/>
          <w:sz w:val="20"/>
          <w:szCs w:val="20"/>
        </w:rPr>
        <w:t>’</w:t>
      </w:r>
      <w:r w:rsidR="00244859" w:rsidRPr="00367C86">
        <w:rPr>
          <w:rFonts w:ascii="Arial" w:hAnsi="Arial" w:cs="Arial"/>
          <w:sz w:val="20"/>
          <w:szCs w:val="20"/>
        </w:rPr>
        <w:t xml:space="preserve">est ainsi </w:t>
      </w:r>
      <w:r w:rsidR="004F6C7F" w:rsidRPr="00367C86">
        <w:rPr>
          <w:rFonts w:ascii="Arial" w:hAnsi="Arial" w:cs="Arial"/>
          <w:sz w:val="20"/>
          <w:szCs w:val="20"/>
        </w:rPr>
        <w:t>l’Appel de Fribourg</w:t>
      </w:r>
      <w:r w:rsidR="00D1382B" w:rsidRPr="00367C86">
        <w:rPr>
          <w:rFonts w:ascii="Arial" w:hAnsi="Arial" w:cs="Arial"/>
          <w:sz w:val="20"/>
          <w:szCs w:val="20"/>
        </w:rPr>
        <w:t xml:space="preserve"> </w:t>
      </w:r>
      <w:r w:rsidR="004F6C7F" w:rsidRPr="00367C86">
        <w:rPr>
          <w:rFonts w:ascii="Arial" w:hAnsi="Arial" w:cs="Arial"/>
          <w:sz w:val="20"/>
          <w:szCs w:val="20"/>
        </w:rPr>
        <w:t>en 2002</w:t>
      </w:r>
      <w:r w:rsidR="00BD6C00" w:rsidRPr="00367C86">
        <w:rPr>
          <w:rStyle w:val="Appelnotedebasdep"/>
          <w:rFonts w:ascii="Arial" w:hAnsi="Arial" w:cs="Arial"/>
          <w:sz w:val="20"/>
          <w:szCs w:val="20"/>
        </w:rPr>
        <w:footnoteReference w:id="96"/>
      </w:r>
      <w:r w:rsidR="007D2A12" w:rsidRPr="00367C86">
        <w:rPr>
          <w:rFonts w:ascii="Arial" w:hAnsi="Arial" w:cs="Arial"/>
          <w:sz w:val="20"/>
          <w:szCs w:val="20"/>
        </w:rPr>
        <w:t xml:space="preserve">, </w:t>
      </w:r>
      <w:r w:rsidR="002B7BEC" w:rsidRPr="00367C86">
        <w:rPr>
          <w:rFonts w:ascii="Arial" w:hAnsi="Arial" w:cs="Arial"/>
          <w:sz w:val="20"/>
          <w:szCs w:val="20"/>
        </w:rPr>
        <w:t>l’Appel de Reykjavik en 2017</w:t>
      </w:r>
      <w:r w:rsidR="00E01C3D" w:rsidRPr="00367C86">
        <w:rPr>
          <w:rFonts w:ascii="Arial" w:hAnsi="Arial" w:cs="Arial"/>
          <w:sz w:val="20"/>
          <w:szCs w:val="20"/>
        </w:rPr>
        <w:t xml:space="preserve">, </w:t>
      </w:r>
      <w:r w:rsidR="002B7BEC" w:rsidRPr="00367C86">
        <w:rPr>
          <w:rFonts w:ascii="Arial" w:hAnsi="Arial" w:cs="Arial"/>
          <w:sz w:val="20"/>
          <w:szCs w:val="20"/>
        </w:rPr>
        <w:t>l’Appel de 190 scientifiques de 38 pays adressé à l’ONU et à l’OMS en 2015</w:t>
      </w:r>
      <w:r w:rsidR="002B7BEC" w:rsidRPr="00367C86">
        <w:rPr>
          <w:rStyle w:val="Appelnotedebasdep"/>
          <w:rFonts w:ascii="Arial" w:hAnsi="Arial" w:cs="Arial"/>
          <w:sz w:val="20"/>
          <w:szCs w:val="20"/>
        </w:rPr>
        <w:footnoteReference w:id="97"/>
      </w:r>
      <w:r w:rsidR="002B7BEC" w:rsidRPr="00367C86">
        <w:rPr>
          <w:rFonts w:ascii="Arial" w:hAnsi="Arial" w:cs="Arial"/>
          <w:sz w:val="20"/>
          <w:szCs w:val="20"/>
        </w:rPr>
        <w:t xml:space="preserve"> </w:t>
      </w:r>
      <w:r w:rsidR="00EC5DDD" w:rsidRPr="00367C86">
        <w:rPr>
          <w:rFonts w:ascii="Arial" w:hAnsi="Arial" w:cs="Arial"/>
          <w:sz w:val="20"/>
          <w:szCs w:val="20"/>
        </w:rPr>
        <w:t>à la suite d</w:t>
      </w:r>
      <w:r w:rsidR="00D1382B" w:rsidRPr="00367C86">
        <w:rPr>
          <w:rFonts w:ascii="Arial" w:hAnsi="Arial" w:cs="Arial"/>
          <w:sz w:val="20"/>
          <w:szCs w:val="20"/>
        </w:rPr>
        <w:t xml:space="preserve">uquel </w:t>
      </w:r>
      <w:r w:rsidR="00EC5DDD" w:rsidRPr="00367C86">
        <w:rPr>
          <w:rFonts w:ascii="Arial" w:hAnsi="Arial" w:cs="Arial"/>
          <w:sz w:val="20"/>
          <w:szCs w:val="20"/>
        </w:rPr>
        <w:t xml:space="preserve">certains </w:t>
      </w:r>
      <w:r w:rsidR="00582EF4" w:rsidRPr="00367C86">
        <w:rPr>
          <w:rFonts w:ascii="Arial" w:hAnsi="Arial" w:cs="Arial"/>
          <w:sz w:val="20"/>
          <w:szCs w:val="20"/>
        </w:rPr>
        <w:t xml:space="preserve">ont créé ensemble </w:t>
      </w:r>
      <w:r w:rsidR="0038670D" w:rsidRPr="00367C86">
        <w:rPr>
          <w:rFonts w:ascii="Arial" w:hAnsi="Arial" w:cs="Arial"/>
          <w:sz w:val="20"/>
          <w:szCs w:val="20"/>
        </w:rPr>
        <w:t>l’ICBE-EMF</w:t>
      </w:r>
      <w:r w:rsidR="00EC5DDD" w:rsidRPr="00367C86">
        <w:rPr>
          <w:rStyle w:val="Appelnotedebasdep"/>
          <w:rFonts w:ascii="Arial" w:hAnsi="Arial" w:cs="Arial"/>
          <w:sz w:val="20"/>
          <w:szCs w:val="20"/>
        </w:rPr>
        <w:footnoteReference w:id="98"/>
      </w:r>
      <w:r w:rsidR="0038670D" w:rsidRPr="00367C86">
        <w:rPr>
          <w:rFonts w:ascii="Arial" w:hAnsi="Arial" w:cs="Arial"/>
          <w:sz w:val="20"/>
          <w:szCs w:val="20"/>
        </w:rPr>
        <w:t xml:space="preserve">. </w:t>
      </w:r>
      <w:r w:rsidR="00EC5DDD" w:rsidRPr="00367C86">
        <w:rPr>
          <w:rFonts w:ascii="Arial" w:hAnsi="Arial" w:cs="Arial"/>
          <w:sz w:val="20"/>
          <w:szCs w:val="20"/>
        </w:rPr>
        <w:t>Parmi ses missions</w:t>
      </w:r>
      <w:r w:rsidR="0038670D" w:rsidRPr="00367C86">
        <w:rPr>
          <w:rFonts w:ascii="Arial" w:hAnsi="Arial" w:cs="Arial"/>
          <w:sz w:val="20"/>
          <w:szCs w:val="20"/>
        </w:rPr>
        <w:t> :</w:t>
      </w:r>
      <w:r w:rsidR="00582EF4" w:rsidRPr="00367C86">
        <w:rPr>
          <w:rFonts w:ascii="Arial" w:hAnsi="Arial" w:cs="Arial"/>
          <w:sz w:val="20"/>
          <w:szCs w:val="20"/>
        </w:rPr>
        <w:t xml:space="preserve"> élaborer</w:t>
      </w:r>
      <w:r w:rsidR="0038670D" w:rsidRPr="00367C86">
        <w:rPr>
          <w:rFonts w:ascii="Arial" w:hAnsi="Arial" w:cs="Arial"/>
          <w:sz w:val="20"/>
          <w:szCs w:val="20"/>
        </w:rPr>
        <w:t xml:space="preserve"> de</w:t>
      </w:r>
      <w:r w:rsidR="00582EF4" w:rsidRPr="00367C86">
        <w:rPr>
          <w:rFonts w:ascii="Arial" w:hAnsi="Arial" w:cs="Arial"/>
          <w:sz w:val="20"/>
          <w:szCs w:val="20"/>
        </w:rPr>
        <w:t>s</w:t>
      </w:r>
      <w:r w:rsidR="0038670D" w:rsidRPr="00367C86">
        <w:rPr>
          <w:rFonts w:ascii="Arial" w:hAnsi="Arial" w:cs="Arial"/>
          <w:sz w:val="20"/>
          <w:szCs w:val="20"/>
        </w:rPr>
        <w:t xml:space="preserve"> lignes directrices plus protectrices pour tous (population et travaill</w:t>
      </w:r>
      <w:r w:rsidR="00582EF4" w:rsidRPr="00367C86">
        <w:rPr>
          <w:rFonts w:ascii="Arial" w:hAnsi="Arial" w:cs="Arial"/>
          <w:sz w:val="20"/>
          <w:szCs w:val="20"/>
        </w:rPr>
        <w:t xml:space="preserve">eurs), </w:t>
      </w:r>
      <w:r w:rsidR="0038670D" w:rsidRPr="00367C86">
        <w:rPr>
          <w:rFonts w:ascii="Arial" w:hAnsi="Arial" w:cs="Arial"/>
          <w:sz w:val="20"/>
          <w:szCs w:val="20"/>
        </w:rPr>
        <w:t>communiquer auprès des décideurs et promouvoir les échanges dans la communauté scientifique</w:t>
      </w:r>
      <w:r w:rsidR="00582EF4" w:rsidRPr="00367C86">
        <w:rPr>
          <w:rFonts w:ascii="Arial" w:hAnsi="Arial" w:cs="Arial"/>
          <w:sz w:val="20"/>
          <w:szCs w:val="20"/>
        </w:rPr>
        <w:t>, notamment.</w:t>
      </w:r>
      <w:r w:rsidR="00C00541" w:rsidRPr="00367C86">
        <w:rPr>
          <w:rFonts w:ascii="Arial" w:hAnsi="Arial" w:cs="Arial"/>
          <w:sz w:val="20"/>
          <w:szCs w:val="20"/>
        </w:rPr>
        <w:t xml:space="preserve"> </w:t>
      </w:r>
      <w:r w:rsidR="0038670D" w:rsidRPr="00367C86">
        <w:rPr>
          <w:rFonts w:ascii="Arial" w:hAnsi="Arial" w:cs="Arial"/>
          <w:sz w:val="20"/>
          <w:szCs w:val="20"/>
        </w:rPr>
        <w:t>Dav</w:t>
      </w:r>
      <w:r w:rsidR="00C00541" w:rsidRPr="00367C86">
        <w:rPr>
          <w:rFonts w:ascii="Arial" w:hAnsi="Arial" w:cs="Arial"/>
          <w:sz w:val="20"/>
          <w:szCs w:val="20"/>
        </w:rPr>
        <w:t>id Gee</w:t>
      </w:r>
      <w:r w:rsidR="00EC5DDD" w:rsidRPr="00367C86">
        <w:rPr>
          <w:rFonts w:ascii="Arial" w:hAnsi="Arial" w:cs="Arial"/>
          <w:sz w:val="20"/>
          <w:szCs w:val="20"/>
        </w:rPr>
        <w:t xml:space="preserve">, </w:t>
      </w:r>
      <w:r w:rsidR="0038670D" w:rsidRPr="00367C86">
        <w:rPr>
          <w:rFonts w:ascii="Arial" w:hAnsi="Arial" w:cs="Arial"/>
          <w:sz w:val="20"/>
          <w:szCs w:val="20"/>
        </w:rPr>
        <w:t xml:space="preserve">auteur de </w:t>
      </w:r>
      <w:r w:rsidR="0038670D" w:rsidRPr="00367C86">
        <w:rPr>
          <w:rFonts w:ascii="Arial" w:hAnsi="Arial" w:cs="Arial"/>
          <w:i/>
          <w:sz w:val="20"/>
          <w:szCs w:val="20"/>
        </w:rPr>
        <w:t>Leçons tardives des alertes précoces</w:t>
      </w:r>
      <w:r w:rsidR="00C00541" w:rsidRPr="00367C86">
        <w:rPr>
          <w:rStyle w:val="Appelnotedebasdep"/>
          <w:rFonts w:ascii="Arial" w:hAnsi="Arial" w:cs="Arial"/>
          <w:i/>
          <w:sz w:val="20"/>
          <w:szCs w:val="20"/>
        </w:rPr>
        <w:footnoteReference w:id="99"/>
      </w:r>
      <w:r w:rsidR="00D935CF" w:rsidRPr="00367C86">
        <w:rPr>
          <w:rFonts w:ascii="Arial" w:hAnsi="Arial" w:cs="Arial"/>
          <w:sz w:val="20"/>
          <w:szCs w:val="20"/>
        </w:rPr>
        <w:t xml:space="preserve"> en est un membre actif. </w:t>
      </w:r>
      <w:r w:rsidR="00EC5DDD" w:rsidRPr="00367C86">
        <w:rPr>
          <w:rFonts w:ascii="Arial" w:hAnsi="Arial" w:cs="Arial"/>
          <w:sz w:val="20"/>
          <w:szCs w:val="20"/>
        </w:rPr>
        <w:t>Hormis les recommandations de l’ICBE-EMF, d’autres valeurs-guides sont émises par l’EUROPAEM, prenant</w:t>
      </w:r>
      <w:r w:rsidR="00824E67" w:rsidRPr="00367C86">
        <w:rPr>
          <w:rFonts w:ascii="Arial" w:hAnsi="Arial" w:cs="Arial"/>
          <w:sz w:val="20"/>
          <w:szCs w:val="20"/>
        </w:rPr>
        <w:t xml:space="preserve"> en compte </w:t>
      </w:r>
      <w:r w:rsidR="00EC5DDD" w:rsidRPr="00367C86">
        <w:rPr>
          <w:rFonts w:ascii="Arial" w:hAnsi="Arial" w:cs="Arial"/>
          <w:sz w:val="20"/>
          <w:szCs w:val="20"/>
        </w:rPr>
        <w:t>les</w:t>
      </w:r>
      <w:r w:rsidR="00824E67" w:rsidRPr="00367C86">
        <w:rPr>
          <w:rFonts w:ascii="Arial" w:hAnsi="Arial" w:cs="Arial"/>
          <w:sz w:val="20"/>
          <w:szCs w:val="20"/>
        </w:rPr>
        <w:t xml:space="preserve"> situations de plus </w:t>
      </w:r>
      <w:r w:rsidR="00EC5DDD" w:rsidRPr="00367C86">
        <w:rPr>
          <w:rFonts w:ascii="Arial" w:hAnsi="Arial" w:cs="Arial"/>
          <w:sz w:val="20"/>
          <w:szCs w:val="20"/>
        </w:rPr>
        <w:t>grande vul</w:t>
      </w:r>
      <w:r w:rsidR="00017FCC" w:rsidRPr="00367C86">
        <w:rPr>
          <w:rFonts w:ascii="Arial" w:hAnsi="Arial" w:cs="Arial"/>
          <w:sz w:val="20"/>
          <w:szCs w:val="20"/>
        </w:rPr>
        <w:t>n</w:t>
      </w:r>
      <w:r w:rsidR="00EC5DDD" w:rsidRPr="00367C86">
        <w:rPr>
          <w:rFonts w:ascii="Arial" w:hAnsi="Arial" w:cs="Arial"/>
          <w:sz w:val="20"/>
          <w:szCs w:val="20"/>
        </w:rPr>
        <w:t>é</w:t>
      </w:r>
      <w:r w:rsidR="00017FCC" w:rsidRPr="00367C86">
        <w:rPr>
          <w:rFonts w:ascii="Arial" w:hAnsi="Arial" w:cs="Arial"/>
          <w:sz w:val="20"/>
          <w:szCs w:val="20"/>
        </w:rPr>
        <w:t>rabilité (</w:t>
      </w:r>
      <w:r w:rsidR="00EC5DDD" w:rsidRPr="00367C86">
        <w:rPr>
          <w:rFonts w:ascii="Arial" w:hAnsi="Arial" w:cs="Arial"/>
          <w:sz w:val="20"/>
          <w:szCs w:val="20"/>
        </w:rPr>
        <w:t>comparaison des recommandations</w:t>
      </w:r>
      <w:r w:rsidR="005124BD" w:rsidRPr="00367C86">
        <w:rPr>
          <w:rFonts w:ascii="Arial" w:hAnsi="Arial" w:cs="Arial"/>
          <w:sz w:val="20"/>
          <w:szCs w:val="20"/>
        </w:rPr>
        <w:t xml:space="preserve"> ICNIRP, ICBE-EMF et EUROPAEM,</w:t>
      </w:r>
      <w:r w:rsidR="00EC5DDD" w:rsidRPr="00367C86">
        <w:rPr>
          <w:rFonts w:ascii="Arial" w:hAnsi="Arial" w:cs="Arial"/>
          <w:sz w:val="20"/>
          <w:szCs w:val="20"/>
        </w:rPr>
        <w:t xml:space="preserve"> </w:t>
      </w:r>
      <w:r w:rsidR="00017FCC" w:rsidRPr="00367C86">
        <w:rPr>
          <w:rFonts w:ascii="Arial" w:hAnsi="Arial" w:cs="Arial"/>
          <w:sz w:val="20"/>
          <w:szCs w:val="20"/>
        </w:rPr>
        <w:t xml:space="preserve">annexe </w:t>
      </w:r>
      <w:r w:rsidR="00EC5DDD" w:rsidRPr="00367C86">
        <w:rPr>
          <w:rFonts w:ascii="Arial" w:hAnsi="Arial" w:cs="Arial"/>
          <w:sz w:val="20"/>
          <w:szCs w:val="20"/>
        </w:rPr>
        <w:t>27).</w:t>
      </w:r>
    </w:p>
    <w:p w:rsidR="000B6D16" w:rsidRPr="00367C86" w:rsidRDefault="005124BD" w:rsidP="00367C86">
      <w:pPr>
        <w:ind w:left="0" w:firstLine="0"/>
        <w:rPr>
          <w:rFonts w:ascii="Arial" w:hAnsi="Arial" w:cs="Arial"/>
          <w:sz w:val="20"/>
          <w:szCs w:val="20"/>
        </w:rPr>
      </w:pPr>
      <w:r w:rsidRPr="00367C86">
        <w:rPr>
          <w:rFonts w:ascii="Arial" w:hAnsi="Arial" w:cs="Arial"/>
          <w:sz w:val="20"/>
          <w:szCs w:val="20"/>
        </w:rPr>
        <w:t>D</w:t>
      </w:r>
      <w:r w:rsidR="000B6D16" w:rsidRPr="00367C86">
        <w:rPr>
          <w:rFonts w:ascii="Arial" w:hAnsi="Arial" w:cs="Arial"/>
          <w:sz w:val="20"/>
          <w:szCs w:val="20"/>
        </w:rPr>
        <w:t>’autres façons de faire sont donc possibles, encore faut-il entendre les alertes.</w:t>
      </w:r>
    </w:p>
    <w:p w:rsidR="005124BD" w:rsidRPr="00367C86" w:rsidRDefault="005124BD" w:rsidP="00367C86">
      <w:pPr>
        <w:ind w:left="0" w:firstLine="0"/>
        <w:rPr>
          <w:rFonts w:ascii="Arial" w:hAnsi="Arial" w:cs="Arial"/>
          <w:sz w:val="20"/>
          <w:szCs w:val="20"/>
        </w:rPr>
      </w:pPr>
    </w:p>
    <w:p w:rsidR="005124BD" w:rsidRPr="00367C86" w:rsidRDefault="005124BD" w:rsidP="00367C86">
      <w:pPr>
        <w:ind w:left="0" w:firstLine="0"/>
        <w:rPr>
          <w:rFonts w:ascii="Arial" w:hAnsi="Arial" w:cs="Arial"/>
          <w:sz w:val="20"/>
          <w:szCs w:val="20"/>
        </w:rPr>
      </w:pPr>
    </w:p>
    <w:p w:rsidR="005124BD" w:rsidRPr="00367C86" w:rsidRDefault="005124BD" w:rsidP="00367C86">
      <w:pPr>
        <w:ind w:left="0" w:firstLine="0"/>
        <w:rPr>
          <w:rFonts w:ascii="Arial" w:hAnsi="Arial" w:cs="Arial"/>
          <w:b/>
          <w:sz w:val="20"/>
          <w:szCs w:val="20"/>
          <w:u w:val="single"/>
        </w:rPr>
      </w:pPr>
      <w:r w:rsidRPr="00367C86">
        <w:rPr>
          <w:rFonts w:ascii="Arial" w:hAnsi="Arial" w:cs="Arial"/>
          <w:b/>
          <w:sz w:val="20"/>
          <w:szCs w:val="20"/>
          <w:u w:val="single"/>
        </w:rPr>
        <w:t>CONCLUSION</w:t>
      </w:r>
    </w:p>
    <w:p w:rsidR="00D935CF" w:rsidRPr="00367C86" w:rsidRDefault="00D935CF" w:rsidP="00367C86">
      <w:pPr>
        <w:ind w:left="0" w:firstLine="0"/>
        <w:rPr>
          <w:rFonts w:ascii="Arial" w:hAnsi="Arial" w:cs="Arial"/>
          <w:sz w:val="20"/>
          <w:szCs w:val="20"/>
        </w:rPr>
      </w:pPr>
    </w:p>
    <w:p w:rsidR="00D935CF" w:rsidRPr="00367C86" w:rsidRDefault="00D935CF" w:rsidP="00367C86">
      <w:pPr>
        <w:rPr>
          <w:rFonts w:ascii="Arial" w:hAnsi="Arial" w:cs="Arial"/>
          <w:sz w:val="20"/>
          <w:szCs w:val="20"/>
        </w:rPr>
      </w:pPr>
    </w:p>
    <w:p w:rsidR="00D935CF" w:rsidRPr="00367C86" w:rsidRDefault="00D935CF" w:rsidP="00367C86">
      <w:pPr>
        <w:rPr>
          <w:rFonts w:ascii="Arial" w:hAnsi="Arial" w:cs="Arial"/>
          <w:sz w:val="20"/>
          <w:szCs w:val="20"/>
        </w:rPr>
      </w:pPr>
      <w:r w:rsidRPr="00367C86">
        <w:rPr>
          <w:rFonts w:ascii="Arial" w:hAnsi="Arial" w:cs="Arial"/>
          <w:sz w:val="20"/>
          <w:szCs w:val="20"/>
        </w:rPr>
        <w:t>A la lecture de ces éléments, pouvons-nous encore, à l’instar des mobilophiles</w:t>
      </w:r>
      <w:r w:rsidR="005124BD" w:rsidRPr="00367C86">
        <w:rPr>
          <w:rStyle w:val="Appelnotedebasdep"/>
          <w:rFonts w:ascii="Arial" w:hAnsi="Arial" w:cs="Arial"/>
          <w:sz w:val="20"/>
          <w:szCs w:val="20"/>
        </w:rPr>
        <w:footnoteReference w:id="100"/>
      </w:r>
      <w:r w:rsidRPr="00367C86">
        <w:rPr>
          <w:rFonts w:ascii="Arial" w:hAnsi="Arial" w:cs="Arial"/>
          <w:sz w:val="20"/>
          <w:szCs w:val="20"/>
        </w:rPr>
        <w:t>, nous réjouir?</w:t>
      </w:r>
    </w:p>
    <w:p w:rsidR="001A1377" w:rsidRPr="00367C86" w:rsidRDefault="001A1377" w:rsidP="00367C86">
      <w:pPr>
        <w:rPr>
          <w:rFonts w:ascii="Arial" w:hAnsi="Arial" w:cs="Arial"/>
          <w:sz w:val="20"/>
          <w:szCs w:val="20"/>
        </w:rPr>
      </w:pPr>
    </w:p>
    <w:p w:rsidR="00602EC0" w:rsidRPr="00367C86" w:rsidRDefault="00524182" w:rsidP="00367C86">
      <w:pPr>
        <w:pStyle w:val="Titre1"/>
        <w:shd w:val="clear" w:color="auto" w:fill="FFFFFF"/>
        <w:spacing w:before="0"/>
        <w:ind w:left="0" w:firstLine="0"/>
        <w:rPr>
          <w:rFonts w:ascii="Arial" w:hAnsi="Arial" w:cs="Arial"/>
          <w:b w:val="0"/>
          <w:color w:val="auto"/>
          <w:sz w:val="20"/>
          <w:szCs w:val="20"/>
        </w:rPr>
      </w:pPr>
      <w:r w:rsidRPr="00367C86">
        <w:rPr>
          <w:rFonts w:ascii="Arial" w:hAnsi="Arial" w:cs="Arial"/>
          <w:b w:val="0"/>
          <w:color w:val="auto"/>
          <w:sz w:val="20"/>
          <w:szCs w:val="20"/>
        </w:rPr>
        <w:t>Revenons à François Dedieu avec lequel nous avions débuté ce mémoire : d</w:t>
      </w:r>
      <w:r w:rsidR="00602EC0" w:rsidRPr="00367C86">
        <w:rPr>
          <w:rFonts w:ascii="Arial" w:hAnsi="Arial" w:cs="Arial"/>
          <w:b w:val="0"/>
          <w:color w:val="auto"/>
          <w:sz w:val="20"/>
          <w:szCs w:val="20"/>
        </w:rPr>
        <w:t>ans un entretien accordé au journal Le Monde en 2023</w:t>
      </w:r>
      <w:r w:rsidR="00602EC0" w:rsidRPr="00367C86">
        <w:rPr>
          <w:rStyle w:val="Appelnotedebasdep"/>
          <w:rFonts w:ascii="Arial" w:hAnsi="Arial" w:cs="Arial"/>
          <w:b w:val="0"/>
          <w:color w:val="auto"/>
          <w:sz w:val="20"/>
          <w:szCs w:val="20"/>
        </w:rPr>
        <w:footnoteReference w:id="101"/>
      </w:r>
      <w:r w:rsidRPr="00367C86">
        <w:rPr>
          <w:rFonts w:ascii="Arial" w:hAnsi="Arial" w:cs="Arial"/>
          <w:b w:val="0"/>
          <w:color w:val="auto"/>
          <w:sz w:val="20"/>
          <w:szCs w:val="20"/>
        </w:rPr>
        <w:t xml:space="preserve">, le sociologue </w:t>
      </w:r>
      <w:r w:rsidR="00602EC0" w:rsidRPr="00367C86">
        <w:rPr>
          <w:rFonts w:ascii="Arial" w:hAnsi="Arial" w:cs="Arial"/>
          <w:b w:val="0"/>
          <w:color w:val="auto"/>
          <w:sz w:val="20"/>
          <w:szCs w:val="20"/>
        </w:rPr>
        <w:t>indiquait que « La toxicologie réglementaire reste aveugle à une diversité d’effets possibles des pesticides ».</w:t>
      </w:r>
    </w:p>
    <w:p w:rsidR="00602EC0" w:rsidRPr="00367C86" w:rsidRDefault="001A1377" w:rsidP="00367C86">
      <w:pPr>
        <w:ind w:left="0" w:firstLine="0"/>
        <w:rPr>
          <w:rFonts w:ascii="Arial" w:hAnsi="Arial" w:cs="Arial"/>
          <w:sz w:val="20"/>
          <w:szCs w:val="20"/>
        </w:rPr>
      </w:pPr>
      <w:r w:rsidRPr="00367C86">
        <w:rPr>
          <w:rFonts w:ascii="Arial" w:hAnsi="Arial" w:cs="Arial"/>
          <w:sz w:val="20"/>
          <w:szCs w:val="20"/>
        </w:rPr>
        <w:t>L’</w:t>
      </w:r>
      <w:r w:rsidR="00367C86">
        <w:rPr>
          <w:rFonts w:ascii="Arial" w:hAnsi="Arial" w:cs="Arial"/>
          <w:sz w:val="20"/>
          <w:szCs w:val="20"/>
        </w:rPr>
        <w:t>hypothèse principale de</w:t>
      </w:r>
      <w:r w:rsidR="00D5281D" w:rsidRPr="00367C86">
        <w:rPr>
          <w:rFonts w:ascii="Arial" w:hAnsi="Arial" w:cs="Arial"/>
          <w:sz w:val="20"/>
          <w:szCs w:val="20"/>
        </w:rPr>
        <w:t xml:space="preserve"> ce mémoire </w:t>
      </w:r>
      <w:r w:rsidR="00524182" w:rsidRPr="00367C86">
        <w:rPr>
          <w:rFonts w:ascii="Arial" w:hAnsi="Arial" w:cs="Arial"/>
          <w:sz w:val="20"/>
          <w:szCs w:val="20"/>
        </w:rPr>
        <w:t>est qu’elle est également aveugle aux effets des technologies sans fil,</w:t>
      </w:r>
      <w:r w:rsidR="00602EC0" w:rsidRPr="00367C86">
        <w:rPr>
          <w:rFonts w:ascii="Arial" w:hAnsi="Arial" w:cs="Arial"/>
          <w:sz w:val="20"/>
          <w:szCs w:val="20"/>
        </w:rPr>
        <w:t xml:space="preserve"> ce qui est doublement probléma</w:t>
      </w:r>
      <w:r w:rsidR="00410966">
        <w:rPr>
          <w:rFonts w:ascii="Arial" w:hAnsi="Arial" w:cs="Arial"/>
          <w:sz w:val="20"/>
          <w:szCs w:val="20"/>
        </w:rPr>
        <w:t xml:space="preserve">tique puisque </w:t>
      </w:r>
      <w:r w:rsidR="00602EC0" w:rsidRPr="00367C86">
        <w:rPr>
          <w:rFonts w:ascii="Arial" w:hAnsi="Arial" w:cs="Arial"/>
          <w:sz w:val="20"/>
          <w:szCs w:val="20"/>
        </w:rPr>
        <w:t>l’hypothèse d’un effet cocktail entre pestic</w:t>
      </w:r>
      <w:r w:rsidRPr="00367C86">
        <w:rPr>
          <w:rFonts w:ascii="Arial" w:hAnsi="Arial" w:cs="Arial"/>
          <w:sz w:val="20"/>
          <w:szCs w:val="20"/>
        </w:rPr>
        <w:t>ides et hyperfréquences</w:t>
      </w:r>
      <w:r w:rsidR="00602EC0" w:rsidRPr="00367C86">
        <w:rPr>
          <w:rFonts w:ascii="Arial" w:hAnsi="Arial" w:cs="Arial"/>
          <w:sz w:val="20"/>
          <w:szCs w:val="20"/>
        </w:rPr>
        <w:t xml:space="preserve"> ne serait pas à écarter.</w:t>
      </w:r>
    </w:p>
    <w:p w:rsidR="00D5281D" w:rsidRPr="00367C86" w:rsidRDefault="00524182" w:rsidP="00367C86">
      <w:pPr>
        <w:pStyle w:val="NormalWeb"/>
        <w:spacing w:before="0" w:beforeAutospacing="0"/>
        <w:jc w:val="both"/>
        <w:rPr>
          <w:rFonts w:ascii="Arial" w:hAnsi="Arial" w:cs="Arial"/>
          <w:spacing w:val="-4"/>
          <w:sz w:val="20"/>
          <w:szCs w:val="20"/>
          <w:shd w:val="clear" w:color="auto" w:fill="FFFFFF"/>
        </w:rPr>
      </w:pPr>
      <w:r w:rsidRPr="00367C86">
        <w:rPr>
          <w:rFonts w:ascii="Arial" w:hAnsi="Arial" w:cs="Arial"/>
          <w:sz w:val="20"/>
          <w:szCs w:val="20"/>
        </w:rPr>
        <w:t>La plupart des études relevant des effets des radiofréquences sur la santé concluent par la nécessité de poursuivre la recherche</w:t>
      </w:r>
      <w:r w:rsidR="00582EF4" w:rsidRPr="00367C86">
        <w:rPr>
          <w:rFonts w:ascii="Arial" w:hAnsi="Arial" w:cs="Arial"/>
          <w:sz w:val="20"/>
          <w:szCs w:val="20"/>
        </w:rPr>
        <w:t>, c’est presqu’une routine</w:t>
      </w:r>
      <w:r w:rsidRPr="00367C86">
        <w:rPr>
          <w:rFonts w:ascii="Arial" w:hAnsi="Arial" w:cs="Arial"/>
          <w:sz w:val="20"/>
          <w:szCs w:val="20"/>
        </w:rPr>
        <w:t>. Pendant ce temps, l’exposition progresse inexorablement</w:t>
      </w:r>
      <w:r w:rsidR="00D5281D" w:rsidRPr="00367C86">
        <w:rPr>
          <w:rFonts w:ascii="Arial" w:hAnsi="Arial" w:cs="Arial"/>
          <w:sz w:val="20"/>
          <w:szCs w:val="20"/>
        </w:rPr>
        <w:t>,</w:t>
      </w:r>
      <w:r w:rsidR="00582EF4" w:rsidRPr="00367C86">
        <w:rPr>
          <w:rFonts w:ascii="Arial" w:hAnsi="Arial" w:cs="Arial"/>
          <w:sz w:val="20"/>
          <w:szCs w:val="20"/>
        </w:rPr>
        <w:t xml:space="preserve"> </w:t>
      </w:r>
      <w:r w:rsidRPr="00367C86">
        <w:rPr>
          <w:rFonts w:ascii="Arial" w:hAnsi="Arial" w:cs="Arial"/>
          <w:sz w:val="20"/>
          <w:szCs w:val="20"/>
        </w:rPr>
        <w:t>et hormis une politique de gestion et de suivi, rien n’est fait pour la diminuer : n</w:t>
      </w:r>
      <w:r w:rsidRPr="00367C86">
        <w:rPr>
          <w:rFonts w:ascii="Arial" w:hAnsi="Arial" w:cs="Arial"/>
          <w:spacing w:val="-4"/>
          <w:sz w:val="20"/>
          <w:szCs w:val="20"/>
          <w:shd w:val="clear" w:color="auto" w:fill="FFFFFF"/>
        </w:rPr>
        <w:t xml:space="preserve">ous assistons ainsi à une raréfaction des espaces </w:t>
      </w:r>
      <w:r w:rsidR="00367C86">
        <w:rPr>
          <w:rFonts w:ascii="Arial" w:hAnsi="Arial" w:cs="Arial"/>
          <w:spacing w:val="-4"/>
          <w:sz w:val="20"/>
          <w:szCs w:val="20"/>
          <w:shd w:val="clear" w:color="auto" w:fill="FFFFFF"/>
        </w:rPr>
        <w:t xml:space="preserve">et organismes </w:t>
      </w:r>
      <w:r w:rsidRPr="00367C86">
        <w:rPr>
          <w:rFonts w:ascii="Arial" w:hAnsi="Arial" w:cs="Arial"/>
          <w:spacing w:val="-4"/>
          <w:sz w:val="20"/>
          <w:szCs w:val="20"/>
          <w:shd w:val="clear" w:color="auto" w:fill="FFFFFF"/>
        </w:rPr>
        <w:t xml:space="preserve">non atteints par un cocktail de radiofréquences, et ce à une vitesse incontrôlée. </w:t>
      </w:r>
    </w:p>
    <w:p w:rsidR="00367C86" w:rsidRDefault="00D5281D" w:rsidP="00367C86">
      <w:pPr>
        <w:pStyle w:val="NormalWeb"/>
        <w:spacing w:before="0" w:beforeAutospacing="0" w:after="0" w:afterAutospacing="0"/>
        <w:jc w:val="both"/>
        <w:rPr>
          <w:rFonts w:ascii="Arial" w:hAnsi="Arial" w:cs="Arial"/>
          <w:spacing w:val="-4"/>
          <w:sz w:val="20"/>
          <w:szCs w:val="20"/>
          <w:shd w:val="clear" w:color="auto" w:fill="FFFFFF"/>
        </w:rPr>
      </w:pPr>
      <w:r w:rsidRPr="00367C86">
        <w:rPr>
          <w:rFonts w:ascii="Arial" w:hAnsi="Arial" w:cs="Arial"/>
          <w:spacing w:val="-4"/>
          <w:sz w:val="20"/>
          <w:szCs w:val="20"/>
          <w:shd w:val="clear" w:color="auto" w:fill="FFFFFF"/>
        </w:rPr>
        <w:t xml:space="preserve">L’absence de preuve n’est pas la preuve de l’absence. </w:t>
      </w:r>
      <w:r w:rsidR="00524182" w:rsidRPr="00367C86">
        <w:rPr>
          <w:rFonts w:ascii="Arial" w:hAnsi="Arial" w:cs="Arial"/>
          <w:spacing w:val="-4"/>
          <w:sz w:val="20"/>
          <w:szCs w:val="20"/>
          <w:shd w:val="clear" w:color="auto" w:fill="FFFFFF"/>
        </w:rPr>
        <w:t xml:space="preserve">Au même titre que la qualité de l’air ou la qualité de l’eau, nous devrions considérer la qualité électromagnétique de notre environnement comme un bien commun : </w:t>
      </w:r>
    </w:p>
    <w:p w:rsidR="00D5281D" w:rsidRPr="00367C86" w:rsidRDefault="00367C86" w:rsidP="00367C86">
      <w:pPr>
        <w:pStyle w:val="NormalWeb"/>
        <w:spacing w:before="0" w:beforeAutospacing="0" w:after="0" w:afterAutospacing="0"/>
        <w:jc w:val="both"/>
        <w:rPr>
          <w:rFonts w:ascii="Arial" w:hAnsi="Arial" w:cs="Arial"/>
          <w:spacing w:val="-4"/>
          <w:sz w:val="20"/>
          <w:szCs w:val="20"/>
          <w:shd w:val="clear" w:color="auto" w:fill="FFFFFF"/>
        </w:rPr>
      </w:pPr>
      <w:r>
        <w:rPr>
          <w:rFonts w:ascii="Arial" w:hAnsi="Arial" w:cs="Arial"/>
          <w:spacing w:val="-4"/>
          <w:sz w:val="20"/>
          <w:szCs w:val="20"/>
          <w:shd w:val="clear" w:color="auto" w:fill="FFFFFF"/>
        </w:rPr>
        <w:t>ce facteur environnemental devrai</w:t>
      </w:r>
      <w:r w:rsidR="00524182" w:rsidRPr="00367C86">
        <w:rPr>
          <w:rFonts w:ascii="Arial" w:hAnsi="Arial" w:cs="Arial"/>
          <w:spacing w:val="-4"/>
          <w:sz w:val="20"/>
          <w:szCs w:val="20"/>
          <w:shd w:val="clear" w:color="auto" w:fill="FFFFFF"/>
        </w:rPr>
        <w:t xml:space="preserve">t désormais, et urgemment, être </w:t>
      </w:r>
      <w:r w:rsidR="00582EF4" w:rsidRPr="00367C86">
        <w:rPr>
          <w:rFonts w:ascii="Arial" w:hAnsi="Arial" w:cs="Arial"/>
          <w:spacing w:val="-4"/>
          <w:sz w:val="20"/>
          <w:szCs w:val="20"/>
          <w:shd w:val="clear" w:color="auto" w:fill="FFFFFF"/>
        </w:rPr>
        <w:t>systématiquement pris en compte dans l’exposome,</w:t>
      </w:r>
      <w:r w:rsidR="00524182" w:rsidRPr="00367C86">
        <w:rPr>
          <w:rFonts w:ascii="Arial" w:hAnsi="Arial" w:cs="Arial"/>
          <w:spacing w:val="-4"/>
          <w:sz w:val="20"/>
          <w:szCs w:val="20"/>
          <w:shd w:val="clear" w:color="auto" w:fill="FFFFFF"/>
        </w:rPr>
        <w:t xml:space="preserve"> tant par la science que pa</w:t>
      </w:r>
      <w:r w:rsidR="00D5281D" w:rsidRPr="00367C86">
        <w:rPr>
          <w:rFonts w:ascii="Arial" w:hAnsi="Arial" w:cs="Arial"/>
          <w:spacing w:val="-4"/>
          <w:sz w:val="20"/>
          <w:szCs w:val="20"/>
          <w:shd w:val="clear" w:color="auto" w:fill="FFFFFF"/>
        </w:rPr>
        <w:t>r les p</w:t>
      </w:r>
      <w:r w:rsidR="00582EF4" w:rsidRPr="00367C86">
        <w:rPr>
          <w:rFonts w:ascii="Arial" w:hAnsi="Arial" w:cs="Arial"/>
          <w:spacing w:val="-4"/>
          <w:sz w:val="20"/>
          <w:szCs w:val="20"/>
          <w:shd w:val="clear" w:color="auto" w:fill="FFFFFF"/>
        </w:rPr>
        <w:t>olitiques et l’industrie.</w:t>
      </w:r>
    </w:p>
    <w:p w:rsidR="00582EF4" w:rsidRPr="00367C86" w:rsidRDefault="00524182" w:rsidP="009E3358">
      <w:pPr>
        <w:pStyle w:val="NormalWeb"/>
        <w:spacing w:before="0" w:beforeAutospacing="0" w:after="0" w:afterAutospacing="0"/>
        <w:jc w:val="both"/>
        <w:rPr>
          <w:rFonts w:ascii="Arial" w:hAnsi="Arial" w:cs="Arial"/>
          <w:sz w:val="20"/>
          <w:szCs w:val="20"/>
        </w:rPr>
      </w:pPr>
      <w:r w:rsidRPr="00367C86">
        <w:rPr>
          <w:rFonts w:ascii="Arial" w:hAnsi="Arial" w:cs="Arial"/>
          <w:sz w:val="20"/>
          <w:szCs w:val="20"/>
        </w:rPr>
        <w:t>Ce sujet n’est pas que l’affaire des EHS, c’est l’affaire de tous. Le niveau d’acceptation collective de ce qui aujourd’hui devrait être considéré comme un risque pour l’ensemble de la population doit probablement se comprendre dans un contexte d’addiction généralisée</w:t>
      </w:r>
      <w:r w:rsidRPr="00367C86">
        <w:rPr>
          <w:rStyle w:val="Appelnotedebasdep"/>
          <w:rFonts w:ascii="Arial" w:hAnsi="Arial" w:cs="Arial"/>
          <w:sz w:val="20"/>
          <w:szCs w:val="20"/>
        </w:rPr>
        <w:footnoteReference w:id="102"/>
      </w:r>
      <w:r w:rsidRPr="00367C86">
        <w:rPr>
          <w:rFonts w:ascii="Arial" w:hAnsi="Arial" w:cs="Arial"/>
          <w:sz w:val="20"/>
          <w:szCs w:val="20"/>
        </w:rPr>
        <w:t> </w:t>
      </w:r>
      <w:r w:rsidR="00D5281D" w:rsidRPr="00367C86">
        <w:rPr>
          <w:rFonts w:ascii="Arial" w:hAnsi="Arial" w:cs="Arial"/>
          <w:sz w:val="20"/>
          <w:szCs w:val="20"/>
        </w:rPr>
        <w:t xml:space="preserve">et </w:t>
      </w:r>
      <w:r w:rsidRPr="00367C86">
        <w:rPr>
          <w:rFonts w:ascii="Arial" w:hAnsi="Arial" w:cs="Arial"/>
          <w:sz w:val="20"/>
          <w:szCs w:val="20"/>
        </w:rPr>
        <w:t>d’« inflation technologique entre les concurrents »</w:t>
      </w:r>
      <w:r w:rsidRPr="00367C86">
        <w:rPr>
          <w:rStyle w:val="Appelnotedebasdep"/>
          <w:rFonts w:ascii="Arial" w:hAnsi="Arial" w:cs="Arial"/>
          <w:sz w:val="20"/>
          <w:szCs w:val="20"/>
        </w:rPr>
        <w:footnoteReference w:id="103"/>
      </w:r>
      <w:r w:rsidRPr="00367C86">
        <w:rPr>
          <w:rFonts w:ascii="Arial" w:hAnsi="Arial" w:cs="Arial"/>
          <w:sz w:val="20"/>
          <w:szCs w:val="20"/>
        </w:rPr>
        <w:t xml:space="preserve">: alors, comment changer les comportements ? </w:t>
      </w:r>
      <w:r w:rsidR="00367C86">
        <w:rPr>
          <w:rFonts w:ascii="Arial" w:hAnsi="Arial" w:cs="Arial"/>
          <w:sz w:val="20"/>
          <w:szCs w:val="20"/>
        </w:rPr>
        <w:t>A l’instar de Philipe Bihouix</w:t>
      </w:r>
      <w:r w:rsidRPr="00367C86">
        <w:rPr>
          <w:rFonts w:ascii="Arial" w:hAnsi="Arial" w:cs="Arial"/>
          <w:sz w:val="20"/>
          <w:szCs w:val="20"/>
        </w:rPr>
        <w:t xml:space="preserve">, lorsqu’il imagine </w:t>
      </w:r>
      <w:r w:rsidRPr="00367C86">
        <w:rPr>
          <w:rFonts w:ascii="Arial" w:hAnsi="Arial" w:cs="Arial"/>
          <w:sz w:val="20"/>
          <w:szCs w:val="20"/>
        </w:rPr>
        <w:lastRenderedPageBreak/>
        <w:t xml:space="preserve">«le monde d’après », </w:t>
      </w:r>
      <w:r w:rsidR="00367C86">
        <w:rPr>
          <w:rFonts w:ascii="Arial" w:hAnsi="Arial" w:cs="Arial"/>
          <w:sz w:val="20"/>
          <w:szCs w:val="20"/>
        </w:rPr>
        <w:t>nous pensons que</w:t>
      </w:r>
      <w:r w:rsidR="009E3358">
        <w:rPr>
          <w:rFonts w:ascii="Arial" w:hAnsi="Arial" w:cs="Arial"/>
          <w:sz w:val="20"/>
          <w:szCs w:val="20"/>
        </w:rPr>
        <w:t> </w:t>
      </w:r>
      <w:r w:rsidRPr="00367C86">
        <w:rPr>
          <w:rFonts w:ascii="Arial" w:hAnsi="Arial" w:cs="Arial"/>
          <w:sz w:val="20"/>
          <w:szCs w:val="20"/>
        </w:rPr>
        <w:t>« </w:t>
      </w:r>
      <w:r w:rsidRPr="00367C86">
        <w:rPr>
          <w:rFonts w:ascii="Arial" w:hAnsi="Arial" w:cs="Arial"/>
          <w:bCs/>
          <w:spacing w:val="-4"/>
          <w:sz w:val="20"/>
          <w:szCs w:val="20"/>
          <w:shd w:val="clear" w:color="auto" w:fill="FFFFFF"/>
        </w:rPr>
        <w:t>La sobriété systémique doit être organisée par la puissance publique. »</w:t>
      </w:r>
      <w:r w:rsidRPr="00367C86">
        <w:rPr>
          <w:rStyle w:val="Appelnotedebasdep"/>
          <w:rFonts w:ascii="Arial" w:hAnsi="Arial" w:cs="Arial"/>
          <w:bCs/>
          <w:spacing w:val="-4"/>
          <w:sz w:val="20"/>
          <w:szCs w:val="20"/>
          <w:shd w:val="clear" w:color="auto" w:fill="FFFFFF"/>
        </w:rPr>
        <w:footnoteReference w:id="104"/>
      </w:r>
      <w:r w:rsidRPr="00367C86">
        <w:rPr>
          <w:rFonts w:ascii="Arial" w:hAnsi="Arial" w:cs="Arial"/>
          <w:spacing w:val="-4"/>
          <w:sz w:val="20"/>
          <w:szCs w:val="20"/>
          <w:shd w:val="clear" w:color="auto" w:fill="FFFFFF"/>
        </w:rPr>
        <w:t> </w:t>
      </w:r>
    </w:p>
    <w:p w:rsidR="00367C86" w:rsidRDefault="00D6627E" w:rsidP="00367C86">
      <w:pPr>
        <w:pStyle w:val="NormalWeb"/>
        <w:jc w:val="both"/>
        <w:rPr>
          <w:rFonts w:ascii="Arial" w:hAnsi="Arial" w:cs="Arial"/>
          <w:sz w:val="20"/>
          <w:szCs w:val="20"/>
        </w:rPr>
      </w:pPr>
      <w:r w:rsidRPr="00367C86">
        <w:rPr>
          <w:rFonts w:ascii="Arial" w:hAnsi="Arial" w:cs="Arial"/>
          <w:sz w:val="20"/>
          <w:szCs w:val="20"/>
        </w:rPr>
        <w:t xml:space="preserve">En l’espace de quarante années, les technologies basées sur l’usage des radiofréquences se sont imposées à nos vies. </w:t>
      </w:r>
    </w:p>
    <w:p w:rsidR="00367C86" w:rsidRDefault="000E25B2" w:rsidP="00367C86">
      <w:pPr>
        <w:pStyle w:val="NormalWeb"/>
        <w:jc w:val="both"/>
        <w:rPr>
          <w:rFonts w:ascii="Arial" w:hAnsi="Arial" w:cs="Arial"/>
          <w:sz w:val="20"/>
          <w:szCs w:val="20"/>
        </w:rPr>
      </w:pPr>
      <w:r w:rsidRPr="00367C86">
        <w:rPr>
          <w:rFonts w:ascii="Arial" w:hAnsi="Arial" w:cs="Arial"/>
          <w:sz w:val="20"/>
          <w:szCs w:val="20"/>
        </w:rPr>
        <w:t>Compte-tenu</w:t>
      </w:r>
      <w:r w:rsidR="009E3358">
        <w:rPr>
          <w:rFonts w:ascii="Arial" w:hAnsi="Arial" w:cs="Arial"/>
          <w:sz w:val="20"/>
          <w:szCs w:val="20"/>
        </w:rPr>
        <w:t xml:space="preserve"> de l’ampleur de l’exposition, ne serait-ce pas plutôt aux industriels et opérateurs de prouver l’</w:t>
      </w:r>
      <w:r w:rsidR="00484EF5" w:rsidRPr="00367C86">
        <w:rPr>
          <w:rFonts w:ascii="Arial" w:hAnsi="Arial" w:cs="Arial"/>
          <w:sz w:val="20"/>
          <w:szCs w:val="20"/>
        </w:rPr>
        <w:t>innocuité</w:t>
      </w:r>
      <w:r w:rsidR="009E3358">
        <w:rPr>
          <w:rFonts w:ascii="Arial" w:hAnsi="Arial" w:cs="Arial"/>
          <w:sz w:val="20"/>
          <w:szCs w:val="20"/>
        </w:rPr>
        <w:t xml:space="preserve"> des technologies sans fil</w:t>
      </w:r>
      <w:r w:rsidR="00E1525F" w:rsidRPr="00367C86">
        <w:rPr>
          <w:rFonts w:ascii="Arial" w:hAnsi="Arial" w:cs="Arial"/>
          <w:sz w:val="20"/>
          <w:szCs w:val="20"/>
        </w:rPr>
        <w:t xml:space="preserve">, </w:t>
      </w:r>
      <w:r w:rsidR="009E3358">
        <w:rPr>
          <w:rFonts w:ascii="Arial" w:hAnsi="Arial" w:cs="Arial"/>
          <w:sz w:val="20"/>
          <w:szCs w:val="20"/>
        </w:rPr>
        <w:t xml:space="preserve">à l’instar de ce qu’a imposé la réglementation REACH </w:t>
      </w:r>
      <w:r w:rsidR="00484EF5" w:rsidRPr="00367C86">
        <w:rPr>
          <w:rFonts w:ascii="Arial" w:hAnsi="Arial" w:cs="Arial"/>
          <w:sz w:val="20"/>
          <w:szCs w:val="20"/>
        </w:rPr>
        <w:t>pour l’introduction sur l</w:t>
      </w:r>
      <w:r w:rsidR="009E3358">
        <w:rPr>
          <w:rFonts w:ascii="Arial" w:hAnsi="Arial" w:cs="Arial"/>
          <w:sz w:val="20"/>
          <w:szCs w:val="20"/>
        </w:rPr>
        <w:t>e marché de nouvelles molécules chimiques</w:t>
      </w:r>
      <w:r w:rsidR="00367C86">
        <w:rPr>
          <w:rFonts w:ascii="Arial" w:hAnsi="Arial" w:cs="Arial"/>
          <w:sz w:val="20"/>
          <w:szCs w:val="20"/>
        </w:rPr>
        <w:t xml:space="preserve"> </w:t>
      </w:r>
      <w:r w:rsidR="00484EF5" w:rsidRPr="00367C86">
        <w:rPr>
          <w:rFonts w:ascii="Arial" w:hAnsi="Arial" w:cs="Arial"/>
          <w:sz w:val="20"/>
          <w:szCs w:val="20"/>
        </w:rPr>
        <w:t>? La question de la charge de la preuve est une des facettes de ce dossier complexe et les ét</w:t>
      </w:r>
      <w:r w:rsidR="00554BF3" w:rsidRPr="00367C86">
        <w:rPr>
          <w:rFonts w:ascii="Arial" w:hAnsi="Arial" w:cs="Arial"/>
          <w:sz w:val="20"/>
          <w:szCs w:val="20"/>
        </w:rPr>
        <w:t xml:space="preserve">udes disponibles, </w:t>
      </w:r>
      <w:r w:rsidR="00484EF5" w:rsidRPr="00367C86">
        <w:rPr>
          <w:rFonts w:ascii="Arial" w:hAnsi="Arial" w:cs="Arial"/>
          <w:sz w:val="20"/>
          <w:szCs w:val="20"/>
        </w:rPr>
        <w:t xml:space="preserve">au regard d’une exposition partout-tout le temps et ce dès la vie intra-utérine, </w:t>
      </w:r>
      <w:r w:rsidR="00E1525F" w:rsidRPr="00367C86">
        <w:rPr>
          <w:rFonts w:ascii="Arial" w:hAnsi="Arial" w:cs="Arial"/>
          <w:sz w:val="20"/>
          <w:szCs w:val="20"/>
        </w:rPr>
        <w:t xml:space="preserve">nous l’avons vu, </w:t>
      </w:r>
      <w:r w:rsidR="00484EF5" w:rsidRPr="00367C86">
        <w:rPr>
          <w:rFonts w:ascii="Arial" w:hAnsi="Arial" w:cs="Arial"/>
          <w:sz w:val="20"/>
          <w:szCs w:val="20"/>
        </w:rPr>
        <w:t>ne permettent pas d’exclur</w:t>
      </w:r>
      <w:r w:rsidR="00D6627E" w:rsidRPr="00367C86">
        <w:rPr>
          <w:rFonts w:ascii="Arial" w:hAnsi="Arial" w:cs="Arial"/>
          <w:sz w:val="20"/>
          <w:szCs w:val="20"/>
        </w:rPr>
        <w:t xml:space="preserve">e un risque élevé. </w:t>
      </w:r>
    </w:p>
    <w:p w:rsidR="000833D9" w:rsidRDefault="00D6627E" w:rsidP="000833D9">
      <w:pPr>
        <w:pStyle w:val="NormalWeb"/>
        <w:spacing w:after="0" w:afterAutospacing="0"/>
        <w:jc w:val="both"/>
        <w:rPr>
          <w:rFonts w:ascii="Arial" w:hAnsi="Arial" w:cs="Arial"/>
          <w:sz w:val="20"/>
          <w:szCs w:val="20"/>
        </w:rPr>
      </w:pPr>
      <w:r w:rsidRPr="00367C86">
        <w:rPr>
          <w:rFonts w:ascii="Arial" w:hAnsi="Arial" w:cs="Arial"/>
          <w:sz w:val="20"/>
          <w:szCs w:val="20"/>
        </w:rPr>
        <w:t>Q</w:t>
      </w:r>
      <w:r w:rsidR="00484EF5" w:rsidRPr="00367C86">
        <w:rPr>
          <w:rFonts w:ascii="Arial" w:hAnsi="Arial" w:cs="Arial"/>
          <w:sz w:val="20"/>
          <w:szCs w:val="20"/>
        </w:rPr>
        <w:t>uelle alerte les pouvoirs publics accepteront-ils d’entendre ?</w:t>
      </w:r>
      <w:r w:rsidR="00E368E7" w:rsidRPr="00367C86">
        <w:rPr>
          <w:rFonts w:ascii="Arial" w:hAnsi="Arial" w:cs="Arial"/>
          <w:sz w:val="20"/>
          <w:szCs w:val="20"/>
        </w:rPr>
        <w:t xml:space="preserve"> </w:t>
      </w:r>
    </w:p>
    <w:p w:rsidR="000833D9" w:rsidRDefault="00E368E7" w:rsidP="000833D9">
      <w:pPr>
        <w:pStyle w:val="NormalWeb"/>
        <w:spacing w:before="0" w:beforeAutospacing="0" w:after="0" w:afterAutospacing="0"/>
        <w:jc w:val="both"/>
        <w:rPr>
          <w:rFonts w:ascii="Arial" w:hAnsi="Arial" w:cs="Arial"/>
          <w:sz w:val="20"/>
          <w:szCs w:val="20"/>
        </w:rPr>
      </w:pPr>
      <w:r w:rsidRPr="00367C86">
        <w:rPr>
          <w:rFonts w:ascii="Arial" w:hAnsi="Arial" w:cs="Arial"/>
          <w:sz w:val="20"/>
          <w:szCs w:val="20"/>
        </w:rPr>
        <w:t>Q</w:t>
      </w:r>
      <w:r w:rsidR="000833D9">
        <w:rPr>
          <w:rFonts w:ascii="Arial" w:hAnsi="Arial" w:cs="Arial"/>
          <w:sz w:val="20"/>
          <w:szCs w:val="20"/>
        </w:rPr>
        <w:t>uel sera le prix du déni ?</w:t>
      </w:r>
    </w:p>
    <w:p w:rsidR="000833D9" w:rsidRDefault="000833D9" w:rsidP="000833D9">
      <w:pPr>
        <w:rPr>
          <w:rFonts w:ascii="Arial" w:hAnsi="Arial" w:cs="Arial"/>
          <w:sz w:val="20"/>
          <w:szCs w:val="20"/>
        </w:rPr>
      </w:pPr>
    </w:p>
    <w:p w:rsidR="000833D9" w:rsidRDefault="000833D9" w:rsidP="000833D9">
      <w:pPr>
        <w:rPr>
          <w:rFonts w:ascii="Arial" w:hAnsi="Arial" w:cs="Arial"/>
          <w:sz w:val="20"/>
          <w:szCs w:val="20"/>
        </w:rPr>
      </w:pPr>
    </w:p>
    <w:p w:rsidR="000833D9" w:rsidRDefault="000833D9" w:rsidP="000833D9">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Anne VIENNEY</w:t>
      </w:r>
    </w:p>
    <w:p w:rsidR="000833D9" w:rsidRDefault="000833D9" w:rsidP="000833D9">
      <w:pPr>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Mai 2025</w:t>
      </w:r>
    </w:p>
    <w:p w:rsidR="008645DF" w:rsidRDefault="008645DF" w:rsidP="000833D9">
      <w:pPr>
        <w:rPr>
          <w:rFonts w:ascii="Arial" w:hAnsi="Arial" w:cs="Arial"/>
          <w:sz w:val="20"/>
          <w:szCs w:val="20"/>
        </w:rPr>
      </w:pPr>
    </w:p>
    <w:p w:rsidR="008645DF" w:rsidRDefault="008645DF">
      <w:pPr>
        <w:rPr>
          <w:rFonts w:ascii="Arial" w:hAnsi="Arial" w:cs="Arial"/>
          <w:sz w:val="20"/>
          <w:szCs w:val="20"/>
        </w:rPr>
      </w:pPr>
      <w:r>
        <w:rPr>
          <w:rFonts w:ascii="Arial" w:hAnsi="Arial" w:cs="Arial"/>
          <w:sz w:val="20"/>
          <w:szCs w:val="20"/>
        </w:rPr>
        <w:br w:type="page"/>
      </w:r>
    </w:p>
    <w:p w:rsidR="008645DF" w:rsidRDefault="008645DF" w:rsidP="008645DF">
      <w:pPr>
        <w:jc w:val="center"/>
        <w:rPr>
          <w:b/>
          <w:sz w:val="28"/>
          <w:szCs w:val="28"/>
          <w:u w:val="single"/>
        </w:rPr>
      </w:pPr>
      <w:r w:rsidRPr="00350A13">
        <w:rPr>
          <w:b/>
          <w:sz w:val="28"/>
          <w:szCs w:val="28"/>
          <w:u w:val="single"/>
        </w:rPr>
        <w:lastRenderedPageBreak/>
        <w:t>ANNEXES</w:t>
      </w:r>
    </w:p>
    <w:p w:rsidR="008645DF" w:rsidRPr="00350A13" w:rsidRDefault="008645DF" w:rsidP="008645DF">
      <w:pPr>
        <w:jc w:val="center"/>
        <w:rPr>
          <w:b/>
          <w:sz w:val="28"/>
          <w:szCs w:val="28"/>
          <w:u w:val="single"/>
        </w:rPr>
      </w:pPr>
    </w:p>
    <w:p w:rsidR="008645DF" w:rsidRDefault="008645DF" w:rsidP="009F3BB0">
      <w:pPr>
        <w:pStyle w:val="Paragraphedeliste"/>
        <w:numPr>
          <w:ilvl w:val="0"/>
          <w:numId w:val="20"/>
        </w:numPr>
        <w:spacing w:after="200"/>
        <w:rPr>
          <w:rFonts w:ascii="Arial" w:hAnsi="Arial" w:cs="Arial"/>
          <w:sz w:val="20"/>
          <w:szCs w:val="20"/>
        </w:rPr>
      </w:pPr>
      <w:r w:rsidRPr="00F90A24">
        <w:rPr>
          <w:rFonts w:ascii="Arial" w:hAnsi="Arial" w:cs="Arial"/>
          <w:sz w:val="20"/>
          <w:szCs w:val="20"/>
        </w:rPr>
        <w:t>Il existe de nombreuses représentations du spectre électromagnétique, qui montrent la difficulté à cerner avec précision ce qu’émettent les nouvelles technologies de l’information et de la communication (NTIC) :</w:t>
      </w:r>
    </w:p>
    <w:p w:rsidR="008645DF" w:rsidRPr="00F90A24" w:rsidRDefault="008645DF" w:rsidP="008645DF">
      <w:pPr>
        <w:pStyle w:val="Paragraphedeliste"/>
        <w:rPr>
          <w:rFonts w:ascii="Arial" w:hAnsi="Arial" w:cs="Arial"/>
          <w:sz w:val="20"/>
          <w:szCs w:val="20"/>
        </w:rPr>
      </w:pPr>
    </w:p>
    <w:p w:rsidR="008645DF" w:rsidRPr="00F90A24" w:rsidRDefault="008645DF" w:rsidP="009F3BB0">
      <w:pPr>
        <w:pStyle w:val="Paragraphedeliste"/>
        <w:numPr>
          <w:ilvl w:val="0"/>
          <w:numId w:val="26"/>
        </w:numPr>
        <w:spacing w:after="200"/>
        <w:rPr>
          <w:rFonts w:ascii="Arial" w:hAnsi="Arial" w:cs="Arial"/>
          <w:sz w:val="20"/>
          <w:szCs w:val="20"/>
        </w:rPr>
      </w:pPr>
      <w:r w:rsidRPr="00F90A24">
        <w:rPr>
          <w:rFonts w:ascii="Arial" w:hAnsi="Arial" w:cs="Arial"/>
          <w:sz w:val="20"/>
          <w:szCs w:val="20"/>
        </w:rPr>
        <w:t xml:space="preserve">Dans ce modèle, la limite de 300 GHz n’apparait pas clairement : </w:t>
      </w:r>
    </w:p>
    <w:p w:rsidR="008645DF" w:rsidRDefault="008645DF" w:rsidP="008645DF">
      <w:pPr>
        <w:ind w:left="0" w:firstLine="0"/>
        <w:jc w:val="center"/>
      </w:pPr>
      <w:r w:rsidRPr="003A6127">
        <w:rPr>
          <w:noProof/>
          <w:lang w:eastAsia="fr-FR"/>
        </w:rPr>
        <w:drawing>
          <wp:inline distT="0" distB="0" distL="0" distR="0">
            <wp:extent cx="6429375" cy="3379721"/>
            <wp:effectExtent l="19050" t="0" r="9525" b="0"/>
            <wp:docPr id="1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6431740" cy="3380964"/>
                    </a:xfrm>
                    <a:prstGeom prst="rect">
                      <a:avLst/>
                    </a:prstGeom>
                    <a:noFill/>
                    <a:ln w="9525">
                      <a:noFill/>
                      <a:miter lim="800000"/>
                      <a:headEnd/>
                      <a:tailEnd/>
                    </a:ln>
                  </pic:spPr>
                </pic:pic>
              </a:graphicData>
            </a:graphic>
          </wp:inline>
        </w:drawing>
      </w:r>
    </w:p>
    <w:p w:rsidR="008645DF" w:rsidRDefault="008645DF" w:rsidP="008645DF">
      <w:pPr>
        <w:rPr>
          <w:sz w:val="20"/>
          <w:szCs w:val="20"/>
        </w:rPr>
      </w:pPr>
      <w:r w:rsidRPr="00F90A24">
        <w:rPr>
          <w:sz w:val="20"/>
          <w:szCs w:val="20"/>
        </w:rPr>
        <w:t>Source : INRS</w:t>
      </w:r>
      <w:r w:rsidRPr="00F90A24">
        <w:rPr>
          <w:rStyle w:val="Appelnotedebasdep"/>
        </w:rPr>
        <w:footnoteReference w:id="105"/>
      </w:r>
    </w:p>
    <w:p w:rsidR="008645DF" w:rsidRDefault="008645DF" w:rsidP="008645DF">
      <w:pPr>
        <w:rPr>
          <w:sz w:val="20"/>
          <w:szCs w:val="20"/>
        </w:rPr>
      </w:pPr>
    </w:p>
    <w:p w:rsidR="008645DF" w:rsidRPr="00F90A24" w:rsidRDefault="008645DF" w:rsidP="008645DF">
      <w:pPr>
        <w:rPr>
          <w:sz w:val="20"/>
          <w:szCs w:val="20"/>
        </w:rPr>
      </w:pPr>
    </w:p>
    <w:p w:rsidR="008645DF" w:rsidRPr="00F90A24" w:rsidRDefault="008645DF" w:rsidP="009F3BB0">
      <w:pPr>
        <w:pStyle w:val="Paragraphedeliste"/>
        <w:numPr>
          <w:ilvl w:val="0"/>
          <w:numId w:val="26"/>
        </w:numPr>
        <w:spacing w:after="200" w:line="276" w:lineRule="auto"/>
        <w:jc w:val="left"/>
        <w:rPr>
          <w:rFonts w:ascii="Arial" w:hAnsi="Arial" w:cs="Arial"/>
          <w:sz w:val="20"/>
          <w:szCs w:val="20"/>
        </w:rPr>
      </w:pPr>
      <w:r w:rsidRPr="00F90A24">
        <w:rPr>
          <w:rFonts w:ascii="Arial" w:hAnsi="Arial" w:cs="Arial"/>
          <w:sz w:val="20"/>
          <w:szCs w:val="20"/>
        </w:rPr>
        <w:t>Si la limite haute des RF est assez consensuelle, la limite basse ne l’est pas (ici : 30 KHz) :</w:t>
      </w:r>
    </w:p>
    <w:p w:rsidR="008645DF" w:rsidRPr="00F90A24" w:rsidRDefault="008645DF" w:rsidP="008645DF">
      <w:pPr>
        <w:ind w:left="0" w:firstLine="0"/>
        <w:rPr>
          <w:sz w:val="20"/>
          <w:szCs w:val="20"/>
        </w:rPr>
      </w:pPr>
      <w:r w:rsidRPr="003A6127">
        <w:rPr>
          <w:noProof/>
          <w:lang w:eastAsia="fr-FR"/>
        </w:rPr>
        <w:drawing>
          <wp:inline distT="0" distB="0" distL="0" distR="0">
            <wp:extent cx="6394569" cy="3050622"/>
            <wp:effectExtent l="19050" t="0" r="6231" b="0"/>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6404351" cy="3055289"/>
                    </a:xfrm>
                    <a:prstGeom prst="rect">
                      <a:avLst/>
                    </a:prstGeom>
                    <a:noFill/>
                    <a:ln w="9525">
                      <a:noFill/>
                      <a:miter lim="800000"/>
                      <a:headEnd/>
                      <a:tailEnd/>
                    </a:ln>
                  </pic:spPr>
                </pic:pic>
              </a:graphicData>
            </a:graphic>
          </wp:inline>
        </w:drawing>
      </w:r>
      <w:r w:rsidRPr="00F90A24">
        <w:rPr>
          <w:sz w:val="20"/>
          <w:szCs w:val="20"/>
        </w:rPr>
        <w:t>Source : blog de Frédéric Launay, Université de Poitiers</w:t>
      </w:r>
      <w:r w:rsidRPr="00F90A24">
        <w:rPr>
          <w:rStyle w:val="Appelnotedebasdep"/>
        </w:rPr>
        <w:footnoteReference w:id="106"/>
      </w:r>
    </w:p>
    <w:p w:rsidR="008645DF" w:rsidRPr="00F90A24" w:rsidRDefault="008645DF" w:rsidP="009F3BB0">
      <w:pPr>
        <w:pStyle w:val="Paragraphedeliste"/>
        <w:numPr>
          <w:ilvl w:val="0"/>
          <w:numId w:val="20"/>
        </w:numPr>
        <w:spacing w:after="200"/>
        <w:rPr>
          <w:rFonts w:ascii="Arial" w:hAnsi="Arial" w:cs="Arial"/>
          <w:sz w:val="20"/>
          <w:szCs w:val="20"/>
        </w:rPr>
      </w:pPr>
      <w:r w:rsidRPr="00F90A24">
        <w:rPr>
          <w:rFonts w:ascii="Arial" w:hAnsi="Arial" w:cs="Arial"/>
          <w:sz w:val="20"/>
          <w:szCs w:val="20"/>
        </w:rPr>
        <w:lastRenderedPageBreak/>
        <w:t>Dans les technologies de communication sans fil, l’onde porteuse (hyperfréquence) permet de transporter un signal qui la module. Plus la fréquence est basse dans la gamme des hyperfréquences, plus l’onde pénètre le bâti et plus elle porte loin. A contrario, plus elle est élevée (ex : 5G) plus il faudra multiplier le nombre d’antennes pour la relayer :</w:t>
      </w:r>
    </w:p>
    <w:p w:rsidR="008645DF" w:rsidRDefault="008645DF" w:rsidP="008645DF">
      <w:pPr>
        <w:ind w:left="360"/>
        <w:jc w:val="center"/>
      </w:pPr>
      <w:r w:rsidRPr="00C1302E">
        <w:rPr>
          <w:noProof/>
          <w:lang w:eastAsia="fr-FR"/>
        </w:rPr>
        <w:drawing>
          <wp:inline distT="0" distB="0" distL="0" distR="0">
            <wp:extent cx="4914900" cy="3276600"/>
            <wp:effectExtent l="19050" t="0" r="0" b="0"/>
            <wp:docPr id="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srcRect/>
                    <a:stretch>
                      <a:fillRect/>
                    </a:stretch>
                  </pic:blipFill>
                  <pic:spPr bwMode="auto">
                    <a:xfrm>
                      <a:off x="0" y="0"/>
                      <a:ext cx="4914900" cy="3276600"/>
                    </a:xfrm>
                    <a:prstGeom prst="rect">
                      <a:avLst/>
                    </a:prstGeom>
                    <a:noFill/>
                    <a:ln w="9525">
                      <a:noFill/>
                      <a:miter lim="800000"/>
                      <a:headEnd/>
                      <a:tailEnd/>
                    </a:ln>
                  </pic:spPr>
                </pic:pic>
              </a:graphicData>
            </a:graphic>
          </wp:inline>
        </w:drawing>
      </w:r>
    </w:p>
    <w:p w:rsidR="008645DF" w:rsidRPr="00F90A24" w:rsidRDefault="008645DF" w:rsidP="008645DF">
      <w:pPr>
        <w:ind w:left="708" w:firstLine="708"/>
        <w:rPr>
          <w:sz w:val="20"/>
          <w:szCs w:val="20"/>
        </w:rPr>
      </w:pPr>
      <w:r w:rsidRPr="00F90A24">
        <w:rPr>
          <w:sz w:val="20"/>
          <w:szCs w:val="20"/>
        </w:rPr>
        <w:t>Source : thèse de Massaoudi Hafawa</w:t>
      </w:r>
      <w:r w:rsidRPr="00F90A24">
        <w:rPr>
          <w:rStyle w:val="Appelnotedebasdep"/>
        </w:rPr>
        <w:footnoteReference w:id="107"/>
      </w:r>
      <w:r w:rsidRPr="00F90A24">
        <w:rPr>
          <w:sz w:val="20"/>
          <w:szCs w:val="20"/>
        </w:rPr>
        <w:t> </w:t>
      </w:r>
    </w:p>
    <w:p w:rsidR="008645DF" w:rsidRDefault="008645DF" w:rsidP="008645DF">
      <w:pPr>
        <w:ind w:left="360"/>
      </w:pPr>
    </w:p>
    <w:p w:rsidR="008645DF" w:rsidRPr="00170912" w:rsidRDefault="008645DF" w:rsidP="009F3BB0">
      <w:pPr>
        <w:pStyle w:val="Paragraphedeliste"/>
        <w:numPr>
          <w:ilvl w:val="0"/>
          <w:numId w:val="20"/>
        </w:numPr>
        <w:spacing w:after="200"/>
      </w:pPr>
      <w:r w:rsidRPr="00170912">
        <w:rPr>
          <w:rFonts w:ascii="Arial" w:hAnsi="Arial" w:cs="Arial"/>
          <w:b/>
          <w:sz w:val="20"/>
          <w:szCs w:val="20"/>
          <w:u w:val="single"/>
        </w:rPr>
        <w:t>Sources d’exposition aux hyperfréquences</w:t>
      </w:r>
      <w:r w:rsidRPr="00170912">
        <w:rPr>
          <w:rFonts w:ascii="Arial" w:hAnsi="Arial" w:cs="Arial"/>
          <w:b/>
          <w:sz w:val="20"/>
          <w:szCs w:val="20"/>
        </w:rPr>
        <w:t> :</w:t>
      </w:r>
    </w:p>
    <w:p w:rsidR="008645DF" w:rsidRDefault="008645DF" w:rsidP="008645DF">
      <w:pPr>
        <w:rPr>
          <w:rFonts w:ascii="Arial" w:hAnsi="Arial" w:cs="Arial"/>
          <w:sz w:val="20"/>
          <w:szCs w:val="20"/>
        </w:rPr>
      </w:pPr>
      <w:r>
        <w:rPr>
          <w:rFonts w:ascii="Arial" w:hAnsi="Arial" w:cs="Arial"/>
          <w:sz w:val="20"/>
          <w:szCs w:val="20"/>
        </w:rPr>
        <w:t xml:space="preserve">Cette annexe </w:t>
      </w:r>
      <w:r w:rsidRPr="00887BA7">
        <w:rPr>
          <w:rFonts w:ascii="Arial" w:hAnsi="Arial" w:cs="Arial"/>
          <w:sz w:val="20"/>
          <w:szCs w:val="20"/>
        </w:rPr>
        <w:t>synthétise les principales sources d’exposition de la population aux hyperfréquences</w:t>
      </w:r>
      <w:r>
        <w:rPr>
          <w:rFonts w:ascii="Arial" w:hAnsi="Arial" w:cs="Arial"/>
          <w:sz w:val="20"/>
          <w:szCs w:val="20"/>
        </w:rPr>
        <w:t xml:space="preserve"> </w:t>
      </w:r>
      <w:r w:rsidRPr="00887BA7">
        <w:rPr>
          <w:rFonts w:ascii="Arial" w:hAnsi="Arial" w:cs="Arial"/>
          <w:sz w:val="20"/>
          <w:szCs w:val="20"/>
        </w:rPr>
        <w:t>e</w:t>
      </w:r>
      <w:r>
        <w:rPr>
          <w:rFonts w:ascii="Arial" w:hAnsi="Arial" w:cs="Arial"/>
          <w:sz w:val="20"/>
          <w:szCs w:val="20"/>
        </w:rPr>
        <w:t xml:space="preserve">n précisant pour chaque source </w:t>
      </w:r>
      <w:r w:rsidRPr="00887BA7">
        <w:rPr>
          <w:rFonts w:ascii="Arial" w:hAnsi="Arial" w:cs="Arial"/>
          <w:sz w:val="20"/>
          <w:szCs w:val="20"/>
        </w:rPr>
        <w:t>la bande de fréquence, les lieux d’expo</w:t>
      </w:r>
      <w:r>
        <w:rPr>
          <w:rFonts w:ascii="Arial" w:hAnsi="Arial" w:cs="Arial"/>
          <w:sz w:val="20"/>
          <w:szCs w:val="20"/>
        </w:rPr>
        <w:t>sition ainsi que</w:t>
      </w:r>
      <w:r w:rsidRPr="00887BA7">
        <w:rPr>
          <w:rFonts w:ascii="Arial" w:hAnsi="Arial" w:cs="Arial"/>
          <w:sz w:val="20"/>
          <w:szCs w:val="20"/>
        </w:rPr>
        <w:t xml:space="preserve"> le type d’ex</w:t>
      </w:r>
      <w:r>
        <w:rPr>
          <w:rFonts w:ascii="Arial" w:hAnsi="Arial" w:cs="Arial"/>
          <w:sz w:val="20"/>
          <w:szCs w:val="20"/>
        </w:rPr>
        <w:t>position.</w:t>
      </w:r>
    </w:p>
    <w:p w:rsidR="008645DF" w:rsidRPr="00887BA7" w:rsidRDefault="008645DF" w:rsidP="008645DF">
      <w:pPr>
        <w:rPr>
          <w:rFonts w:ascii="Arial" w:hAnsi="Arial" w:cs="Arial"/>
          <w:sz w:val="20"/>
          <w:szCs w:val="20"/>
        </w:rPr>
      </w:pPr>
      <w:r>
        <w:rPr>
          <w:rFonts w:ascii="Arial" w:hAnsi="Arial" w:cs="Arial"/>
          <w:sz w:val="20"/>
          <w:szCs w:val="20"/>
        </w:rPr>
        <w:t>P</w:t>
      </w:r>
      <w:r w:rsidRPr="00887BA7">
        <w:rPr>
          <w:rFonts w:ascii="Arial" w:hAnsi="Arial" w:cs="Arial"/>
          <w:sz w:val="20"/>
          <w:szCs w:val="20"/>
        </w:rPr>
        <w:t xml:space="preserve">arce qu’elles sont également </w:t>
      </w:r>
      <w:r>
        <w:rPr>
          <w:rFonts w:ascii="Arial" w:hAnsi="Arial" w:cs="Arial"/>
          <w:sz w:val="20"/>
          <w:szCs w:val="20"/>
        </w:rPr>
        <w:t xml:space="preserve">présentes </w:t>
      </w:r>
      <w:r w:rsidRPr="00887BA7">
        <w:rPr>
          <w:rFonts w:ascii="Arial" w:hAnsi="Arial" w:cs="Arial"/>
          <w:sz w:val="20"/>
          <w:szCs w:val="20"/>
        </w:rPr>
        <w:t xml:space="preserve">dans notre environnement et contribuent potentiellement à un effet cocktail, les radiofréquences qui </w:t>
      </w:r>
      <w:r>
        <w:rPr>
          <w:rFonts w:ascii="Arial" w:hAnsi="Arial" w:cs="Arial"/>
          <w:sz w:val="20"/>
          <w:szCs w:val="20"/>
        </w:rPr>
        <w:t>ne sont pas des hyperfréquences y apparaissent également (en vert). Enfin, ce travail ne prétend pas à l’exhaustivité.</w:t>
      </w:r>
    </w:p>
    <w:p w:rsidR="008645DF" w:rsidRPr="0087778D" w:rsidRDefault="008645DF" w:rsidP="008645DF">
      <w:pPr>
        <w:pStyle w:val="Titre2"/>
        <w:rPr>
          <w:rFonts w:ascii="Arial" w:hAnsi="Arial" w:cs="Arial"/>
          <w:sz w:val="22"/>
          <w:szCs w:val="22"/>
        </w:rPr>
      </w:pPr>
      <w:r w:rsidRPr="0087778D">
        <w:rPr>
          <w:rFonts w:ascii="Arial" w:hAnsi="Arial" w:cs="Arial"/>
          <w:sz w:val="22"/>
          <w:szCs w:val="22"/>
        </w:rPr>
        <w:t>Téléphones portables (2G, 3G, 4G, 5G)</w:t>
      </w:r>
    </w:p>
    <w:p w:rsidR="008645DF" w:rsidRPr="00887BA7" w:rsidRDefault="008645DF" w:rsidP="008645DF">
      <w:pPr>
        <w:pStyle w:val="Listepuces"/>
        <w:jc w:val="both"/>
        <w:rPr>
          <w:rFonts w:ascii="Arial" w:hAnsi="Arial" w:cs="Arial"/>
          <w:sz w:val="20"/>
          <w:szCs w:val="20"/>
        </w:rPr>
      </w:pPr>
      <w:r w:rsidRPr="00887BA7">
        <w:rPr>
          <w:rFonts w:ascii="Arial" w:hAnsi="Arial" w:cs="Arial"/>
          <w:sz w:val="20"/>
          <w:szCs w:val="20"/>
        </w:rPr>
        <w:t xml:space="preserve">Bandes de fréquence : </w:t>
      </w:r>
    </w:p>
    <w:p w:rsidR="008645DF" w:rsidRPr="00887BA7" w:rsidRDefault="008645DF" w:rsidP="008645DF">
      <w:pPr>
        <w:pStyle w:val="Listepuces"/>
        <w:numPr>
          <w:ilvl w:val="0"/>
          <w:numId w:val="0"/>
        </w:numPr>
        <w:ind w:left="360"/>
        <w:rPr>
          <w:rFonts w:ascii="Arial" w:hAnsi="Arial" w:cs="Arial"/>
          <w:sz w:val="20"/>
          <w:szCs w:val="20"/>
        </w:rPr>
      </w:pPr>
      <w:r w:rsidRPr="0087778D">
        <w:rPr>
          <w:rFonts w:ascii="Arial" w:hAnsi="Arial" w:cs="Arial"/>
          <w:b/>
          <w:sz w:val="20"/>
          <w:szCs w:val="20"/>
        </w:rPr>
        <w:t>2G</w:t>
      </w:r>
      <w:r w:rsidRPr="00887BA7">
        <w:rPr>
          <w:rFonts w:ascii="Arial" w:hAnsi="Arial" w:cs="Arial"/>
          <w:sz w:val="20"/>
          <w:szCs w:val="20"/>
        </w:rPr>
        <w:t xml:space="preserve"> : 900 MHz, 1800 MHz</w:t>
      </w:r>
      <w:r w:rsidRPr="00887BA7">
        <w:rPr>
          <w:rFonts w:ascii="Arial" w:hAnsi="Arial" w:cs="Arial"/>
          <w:sz w:val="20"/>
          <w:szCs w:val="20"/>
        </w:rPr>
        <w:br/>
      </w:r>
      <w:r w:rsidRPr="0087778D">
        <w:rPr>
          <w:rFonts w:ascii="Arial" w:hAnsi="Arial" w:cs="Arial"/>
          <w:b/>
          <w:sz w:val="20"/>
          <w:szCs w:val="20"/>
        </w:rPr>
        <w:t>3G</w:t>
      </w:r>
      <w:r w:rsidRPr="00887BA7">
        <w:rPr>
          <w:rFonts w:ascii="Arial" w:hAnsi="Arial" w:cs="Arial"/>
          <w:sz w:val="20"/>
          <w:szCs w:val="20"/>
        </w:rPr>
        <w:t xml:space="preserve"> : 2100 MHz</w:t>
      </w:r>
      <w:r w:rsidRPr="00887BA7">
        <w:rPr>
          <w:rFonts w:ascii="Arial" w:hAnsi="Arial" w:cs="Arial"/>
          <w:sz w:val="20"/>
          <w:szCs w:val="20"/>
        </w:rPr>
        <w:br/>
      </w:r>
      <w:r w:rsidRPr="0087778D">
        <w:rPr>
          <w:rFonts w:ascii="Arial" w:hAnsi="Arial" w:cs="Arial"/>
          <w:b/>
          <w:sz w:val="20"/>
          <w:szCs w:val="20"/>
        </w:rPr>
        <w:t>4G</w:t>
      </w:r>
      <w:r w:rsidRPr="00887BA7">
        <w:rPr>
          <w:rFonts w:ascii="Arial" w:hAnsi="Arial" w:cs="Arial"/>
          <w:sz w:val="20"/>
          <w:szCs w:val="20"/>
        </w:rPr>
        <w:t xml:space="preserve"> : 700, 800, 1800, 2600 MHz</w:t>
      </w:r>
      <w:r w:rsidRPr="00887BA7">
        <w:rPr>
          <w:rFonts w:ascii="Arial" w:hAnsi="Arial" w:cs="Arial"/>
          <w:sz w:val="20"/>
          <w:szCs w:val="20"/>
        </w:rPr>
        <w:br/>
      </w:r>
      <w:r w:rsidRPr="0087778D">
        <w:rPr>
          <w:rFonts w:ascii="Arial" w:hAnsi="Arial" w:cs="Arial"/>
          <w:b/>
          <w:sz w:val="20"/>
          <w:szCs w:val="20"/>
        </w:rPr>
        <w:t>5G</w:t>
      </w:r>
      <w:r w:rsidRPr="00887BA7">
        <w:rPr>
          <w:rFonts w:ascii="Arial" w:hAnsi="Arial" w:cs="Arial"/>
          <w:sz w:val="20"/>
          <w:szCs w:val="20"/>
        </w:rPr>
        <w:t xml:space="preserve"> : 700 MHz, 3.5 GHz (à venir : 26 GHz)</w:t>
      </w:r>
    </w:p>
    <w:p w:rsidR="008645DF" w:rsidRPr="00887BA7" w:rsidRDefault="008645DF" w:rsidP="008645DF">
      <w:pPr>
        <w:pStyle w:val="Listepuces"/>
        <w:jc w:val="both"/>
        <w:rPr>
          <w:rFonts w:ascii="Arial" w:hAnsi="Arial" w:cs="Arial"/>
          <w:sz w:val="20"/>
          <w:szCs w:val="20"/>
        </w:rPr>
      </w:pPr>
      <w:r w:rsidRPr="00887BA7">
        <w:rPr>
          <w:rFonts w:ascii="Arial" w:hAnsi="Arial" w:cs="Arial"/>
          <w:sz w:val="20"/>
          <w:szCs w:val="20"/>
        </w:rPr>
        <w:t>Lieux d’exposition : domicile, travail, transports, établissements scolaires, espaces publics, espaces de loisirs fermés ou ouverts</w:t>
      </w:r>
      <w:r>
        <w:rPr>
          <w:rFonts w:ascii="Arial" w:hAnsi="Arial" w:cs="Arial"/>
          <w:sz w:val="20"/>
          <w:szCs w:val="20"/>
        </w:rPr>
        <w:t>…</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Type d’exposition : p</w:t>
      </w:r>
      <w:r w:rsidRPr="00887BA7">
        <w:rPr>
          <w:rFonts w:ascii="Arial" w:hAnsi="Arial" w:cs="Arial"/>
          <w:sz w:val="20"/>
          <w:szCs w:val="20"/>
        </w:rPr>
        <w:t>roximité directe (</w:t>
      </w:r>
      <w:r>
        <w:rPr>
          <w:rFonts w:ascii="Arial" w:hAnsi="Arial" w:cs="Arial"/>
          <w:sz w:val="20"/>
          <w:szCs w:val="20"/>
        </w:rPr>
        <w:t>téléphone personnel) + intermittente/ambiante</w:t>
      </w:r>
      <w:r w:rsidRPr="00887BA7">
        <w:rPr>
          <w:rFonts w:ascii="Arial" w:hAnsi="Arial" w:cs="Arial"/>
          <w:sz w:val="20"/>
          <w:szCs w:val="20"/>
        </w:rPr>
        <w:t xml:space="preserve"> (autres téléphones)</w:t>
      </w:r>
    </w:p>
    <w:p w:rsidR="008645DF" w:rsidRPr="0087778D" w:rsidRDefault="008645DF" w:rsidP="008645DF">
      <w:pPr>
        <w:pStyle w:val="Titre2"/>
        <w:rPr>
          <w:rFonts w:ascii="Arial" w:hAnsi="Arial" w:cs="Arial"/>
          <w:sz w:val="22"/>
          <w:szCs w:val="22"/>
        </w:rPr>
      </w:pPr>
      <w:r w:rsidRPr="0087778D">
        <w:rPr>
          <w:rFonts w:ascii="Arial" w:hAnsi="Arial" w:cs="Arial"/>
          <w:sz w:val="22"/>
          <w:szCs w:val="22"/>
        </w:rPr>
        <w:t>Antennes-relais de téléphonie mobile</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Bandes de fréquence : i</w:t>
      </w:r>
      <w:r w:rsidRPr="00887BA7">
        <w:rPr>
          <w:rFonts w:ascii="Arial" w:hAnsi="Arial" w:cs="Arial"/>
          <w:sz w:val="20"/>
          <w:szCs w:val="20"/>
        </w:rPr>
        <w:t>dentiques à celles du téléphone portable</w:t>
      </w:r>
    </w:p>
    <w:p w:rsidR="008645DF" w:rsidRDefault="008645DF" w:rsidP="008645DF">
      <w:pPr>
        <w:pStyle w:val="Listepuces"/>
        <w:jc w:val="both"/>
        <w:rPr>
          <w:rFonts w:ascii="Arial" w:hAnsi="Arial" w:cs="Arial"/>
          <w:sz w:val="20"/>
          <w:szCs w:val="20"/>
        </w:rPr>
      </w:pPr>
      <w:r w:rsidRPr="00887BA7">
        <w:rPr>
          <w:rFonts w:ascii="Arial" w:hAnsi="Arial" w:cs="Arial"/>
          <w:sz w:val="20"/>
          <w:szCs w:val="20"/>
        </w:rPr>
        <w:t>Lieux d’e</w:t>
      </w:r>
      <w:r>
        <w:rPr>
          <w:rFonts w:ascii="Arial" w:hAnsi="Arial" w:cs="Arial"/>
          <w:sz w:val="20"/>
          <w:szCs w:val="20"/>
        </w:rPr>
        <w:t>xposition : tous espaces ouverts et fermés.</w:t>
      </w:r>
    </w:p>
    <w:p w:rsidR="008645DF" w:rsidRPr="00887BA7" w:rsidRDefault="008645DF" w:rsidP="008645DF">
      <w:pPr>
        <w:pStyle w:val="Listepuces"/>
        <w:numPr>
          <w:ilvl w:val="0"/>
          <w:numId w:val="0"/>
        </w:numPr>
        <w:ind w:left="360"/>
        <w:jc w:val="both"/>
        <w:rPr>
          <w:rFonts w:ascii="Arial" w:hAnsi="Arial" w:cs="Arial"/>
          <w:sz w:val="20"/>
          <w:szCs w:val="20"/>
        </w:rPr>
      </w:pPr>
      <w:r w:rsidRPr="00887BA7">
        <w:rPr>
          <w:rFonts w:ascii="Arial" w:hAnsi="Arial" w:cs="Arial"/>
          <w:sz w:val="20"/>
          <w:szCs w:val="20"/>
        </w:rPr>
        <w:t>L’intensité</w:t>
      </w:r>
      <w:r>
        <w:rPr>
          <w:rFonts w:ascii="Arial" w:hAnsi="Arial" w:cs="Arial"/>
          <w:sz w:val="20"/>
          <w:szCs w:val="20"/>
        </w:rPr>
        <w:t xml:space="preserve"> de l’exposition</w:t>
      </w:r>
      <w:r w:rsidRPr="00887BA7">
        <w:rPr>
          <w:rFonts w:ascii="Arial" w:hAnsi="Arial" w:cs="Arial"/>
          <w:sz w:val="20"/>
          <w:szCs w:val="20"/>
        </w:rPr>
        <w:t xml:space="preserve"> varie en fonction</w:t>
      </w:r>
      <w:r>
        <w:rPr>
          <w:rFonts w:ascii="Arial" w:hAnsi="Arial" w:cs="Arial"/>
          <w:sz w:val="20"/>
          <w:szCs w:val="20"/>
        </w:rPr>
        <w:t xml:space="preserve"> : de la localisation par rapport à</w:t>
      </w:r>
      <w:r w:rsidRPr="00887BA7">
        <w:rPr>
          <w:rFonts w:ascii="Arial" w:hAnsi="Arial" w:cs="Arial"/>
          <w:sz w:val="20"/>
          <w:szCs w:val="20"/>
        </w:rPr>
        <w:t xml:space="preserve"> l’antenne (exposition plus forte avec une vue directe et dans le lobe principal</w:t>
      </w:r>
      <w:r>
        <w:rPr>
          <w:rFonts w:ascii="Arial" w:hAnsi="Arial" w:cs="Arial"/>
          <w:sz w:val="20"/>
          <w:szCs w:val="20"/>
        </w:rPr>
        <w:t>,</w:t>
      </w:r>
      <w:r w:rsidRPr="001F0078">
        <w:rPr>
          <w:rFonts w:ascii="Arial" w:hAnsi="Arial" w:cs="Arial"/>
          <w:sz w:val="20"/>
          <w:szCs w:val="20"/>
        </w:rPr>
        <w:t xml:space="preserve"> </w:t>
      </w:r>
      <w:r>
        <w:rPr>
          <w:rFonts w:ascii="Arial" w:hAnsi="Arial" w:cs="Arial"/>
          <w:sz w:val="20"/>
          <w:szCs w:val="20"/>
        </w:rPr>
        <w:t xml:space="preserve">en l’absence d’obstacles : </w:t>
      </w:r>
      <w:r w:rsidRPr="00887BA7">
        <w:rPr>
          <w:rFonts w:ascii="Arial" w:hAnsi="Arial" w:cs="Arial"/>
          <w:sz w:val="20"/>
          <w:szCs w:val="20"/>
        </w:rPr>
        <w:t>plus la bande de fréquence est haute moins elle porte loin), des matériaux utilisés pour le bâti (ex</w:t>
      </w:r>
      <w:r>
        <w:rPr>
          <w:rFonts w:ascii="Arial" w:hAnsi="Arial" w:cs="Arial"/>
          <w:sz w:val="20"/>
          <w:szCs w:val="20"/>
        </w:rPr>
        <w:t>.</w:t>
      </w:r>
      <w:r w:rsidRPr="00887BA7">
        <w:rPr>
          <w:rFonts w:ascii="Arial" w:hAnsi="Arial" w:cs="Arial"/>
          <w:sz w:val="20"/>
          <w:szCs w:val="20"/>
        </w:rPr>
        <w:t>: atténuation par des</w:t>
      </w:r>
      <w:r>
        <w:rPr>
          <w:rFonts w:ascii="Arial" w:hAnsi="Arial" w:cs="Arial"/>
          <w:sz w:val="20"/>
          <w:szCs w:val="20"/>
        </w:rPr>
        <w:t xml:space="preserve"> fenêtres à faible émissivité), des caractéristiques de l’environnement urbanistique (toits et volets </w:t>
      </w:r>
      <w:r>
        <w:rPr>
          <w:rFonts w:ascii="Arial" w:hAnsi="Arial" w:cs="Arial"/>
          <w:sz w:val="20"/>
          <w:szCs w:val="20"/>
        </w:rPr>
        <w:lastRenderedPageBreak/>
        <w:t>réfléchissants ? hauteur du bâtiment exposé/hauteur du bâtiment exposant, par exemple), du type de zone (milieu urbain ou rural)…</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Type d’exposition : a</w:t>
      </w:r>
      <w:r w:rsidRPr="00887BA7">
        <w:rPr>
          <w:rFonts w:ascii="Arial" w:hAnsi="Arial" w:cs="Arial"/>
          <w:sz w:val="20"/>
          <w:szCs w:val="20"/>
        </w:rPr>
        <w:t>mbiante, permanente</w:t>
      </w:r>
      <w:r>
        <w:rPr>
          <w:rFonts w:ascii="Arial" w:hAnsi="Arial" w:cs="Arial"/>
          <w:sz w:val="20"/>
          <w:szCs w:val="20"/>
        </w:rPr>
        <w:t xml:space="preserve"> (exposition chronique, excepté dans les zones non-couvertes), de proximité et intermittente pour les travailleurs opérant sur les antennes-relais de téléphonie mobile</w:t>
      </w:r>
      <w:r>
        <w:rPr>
          <w:rStyle w:val="Appelnotedebasdep"/>
          <w:rFonts w:ascii="Arial" w:hAnsi="Arial" w:cs="Arial"/>
        </w:rPr>
        <w:footnoteReference w:id="108"/>
      </w:r>
    </w:p>
    <w:p w:rsidR="008645DF" w:rsidRPr="0087778D" w:rsidRDefault="008645DF" w:rsidP="008645DF">
      <w:pPr>
        <w:pStyle w:val="Titre2"/>
        <w:rPr>
          <w:rFonts w:ascii="Arial" w:hAnsi="Arial" w:cs="Arial"/>
          <w:sz w:val="22"/>
          <w:szCs w:val="22"/>
        </w:rPr>
      </w:pPr>
      <w:r>
        <w:rPr>
          <w:rFonts w:ascii="Arial" w:hAnsi="Arial" w:cs="Arial"/>
          <w:sz w:val="22"/>
          <w:szCs w:val="22"/>
        </w:rPr>
        <w:t>Wi</w:t>
      </w:r>
      <w:r w:rsidRPr="0087778D">
        <w:rPr>
          <w:rFonts w:ascii="Arial" w:hAnsi="Arial" w:cs="Arial"/>
          <w:sz w:val="22"/>
          <w:szCs w:val="22"/>
        </w:rPr>
        <w:t>Fi / WiMAX</w:t>
      </w:r>
    </w:p>
    <w:p w:rsidR="008645DF" w:rsidRDefault="008645DF" w:rsidP="008645DF">
      <w:pPr>
        <w:pStyle w:val="Listepuces"/>
        <w:jc w:val="both"/>
        <w:rPr>
          <w:rFonts w:ascii="Arial" w:hAnsi="Arial" w:cs="Arial"/>
          <w:sz w:val="20"/>
          <w:szCs w:val="20"/>
        </w:rPr>
      </w:pPr>
      <w:r w:rsidRPr="00887BA7">
        <w:rPr>
          <w:rFonts w:ascii="Arial" w:hAnsi="Arial" w:cs="Arial"/>
          <w:sz w:val="20"/>
          <w:szCs w:val="20"/>
        </w:rPr>
        <w:t xml:space="preserve">Bandes de fréquence : </w:t>
      </w:r>
    </w:p>
    <w:p w:rsidR="008645DF" w:rsidRPr="00887BA7" w:rsidRDefault="008645DF" w:rsidP="008645DF">
      <w:pPr>
        <w:pStyle w:val="Listepuces"/>
        <w:numPr>
          <w:ilvl w:val="0"/>
          <w:numId w:val="0"/>
        </w:numPr>
        <w:ind w:left="360"/>
        <w:rPr>
          <w:rFonts w:ascii="Arial" w:hAnsi="Arial" w:cs="Arial"/>
          <w:sz w:val="20"/>
          <w:szCs w:val="20"/>
        </w:rPr>
      </w:pPr>
      <w:r>
        <w:rPr>
          <w:rFonts w:ascii="Arial" w:hAnsi="Arial" w:cs="Arial"/>
          <w:b/>
          <w:sz w:val="20"/>
          <w:szCs w:val="20"/>
        </w:rPr>
        <w:t>Wi</w:t>
      </w:r>
      <w:r w:rsidRPr="0087778D">
        <w:rPr>
          <w:rFonts w:ascii="Arial" w:hAnsi="Arial" w:cs="Arial"/>
          <w:b/>
          <w:sz w:val="20"/>
          <w:szCs w:val="20"/>
        </w:rPr>
        <w:t>Fi</w:t>
      </w:r>
      <w:r>
        <w:rPr>
          <w:rFonts w:ascii="Arial" w:hAnsi="Arial" w:cs="Arial"/>
          <w:sz w:val="20"/>
          <w:szCs w:val="20"/>
        </w:rPr>
        <w:t xml:space="preserve"> : 2.4 GHz, 5 GHz (</w:t>
      </w:r>
      <w:r w:rsidRPr="00887BA7">
        <w:rPr>
          <w:rFonts w:ascii="Arial" w:hAnsi="Arial" w:cs="Arial"/>
          <w:sz w:val="20"/>
          <w:szCs w:val="20"/>
        </w:rPr>
        <w:t>à venir : 6 GHz pour le Wi-Fi 6E)</w:t>
      </w:r>
      <w:r w:rsidRPr="00887BA7">
        <w:rPr>
          <w:rFonts w:ascii="Arial" w:hAnsi="Arial" w:cs="Arial"/>
          <w:sz w:val="20"/>
          <w:szCs w:val="20"/>
        </w:rPr>
        <w:br/>
      </w:r>
      <w:r w:rsidRPr="0087778D">
        <w:rPr>
          <w:rFonts w:ascii="Arial" w:hAnsi="Arial" w:cs="Arial"/>
          <w:b/>
          <w:sz w:val="20"/>
          <w:szCs w:val="20"/>
        </w:rPr>
        <w:t>WiMAX</w:t>
      </w:r>
      <w:r w:rsidRPr="00887BA7">
        <w:rPr>
          <w:rFonts w:ascii="Arial" w:hAnsi="Arial" w:cs="Arial"/>
          <w:sz w:val="20"/>
          <w:szCs w:val="20"/>
        </w:rPr>
        <w:t xml:space="preserve"> : 3.5 GHz</w:t>
      </w:r>
      <w:r>
        <w:rPr>
          <w:rFonts w:ascii="Arial" w:hAnsi="Arial" w:cs="Arial"/>
          <w:sz w:val="20"/>
          <w:szCs w:val="20"/>
        </w:rPr>
        <w:t xml:space="preserve"> (en milieu rural)</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Lieux d’exposition : domicile, travail, é</w:t>
      </w:r>
      <w:r w:rsidRPr="00887BA7">
        <w:rPr>
          <w:rFonts w:ascii="Arial" w:hAnsi="Arial" w:cs="Arial"/>
          <w:sz w:val="20"/>
          <w:szCs w:val="20"/>
        </w:rPr>
        <w:t>tablissements sco</w:t>
      </w:r>
      <w:r>
        <w:rPr>
          <w:rFonts w:ascii="Arial" w:hAnsi="Arial" w:cs="Arial"/>
          <w:sz w:val="20"/>
          <w:szCs w:val="20"/>
        </w:rPr>
        <w:t>laires, transports, e</w:t>
      </w:r>
      <w:r w:rsidRPr="00887BA7">
        <w:rPr>
          <w:rFonts w:ascii="Arial" w:hAnsi="Arial" w:cs="Arial"/>
          <w:sz w:val="20"/>
          <w:szCs w:val="20"/>
        </w:rPr>
        <w:t>spaces publics</w:t>
      </w:r>
      <w:r>
        <w:rPr>
          <w:rFonts w:ascii="Arial" w:hAnsi="Arial" w:cs="Arial"/>
          <w:sz w:val="20"/>
          <w:szCs w:val="20"/>
        </w:rPr>
        <w:t>…</w:t>
      </w:r>
    </w:p>
    <w:p w:rsidR="008645DF" w:rsidRPr="00887BA7" w:rsidRDefault="008645DF" w:rsidP="008645DF">
      <w:pPr>
        <w:pStyle w:val="Listepuces"/>
        <w:jc w:val="both"/>
        <w:rPr>
          <w:rFonts w:ascii="Arial" w:hAnsi="Arial" w:cs="Arial"/>
          <w:sz w:val="20"/>
          <w:szCs w:val="20"/>
        </w:rPr>
      </w:pPr>
      <w:r w:rsidRPr="00887BA7">
        <w:rPr>
          <w:rFonts w:ascii="Arial" w:hAnsi="Arial" w:cs="Arial"/>
          <w:sz w:val="20"/>
          <w:szCs w:val="20"/>
        </w:rPr>
        <w:t>Type d’expo</w:t>
      </w:r>
      <w:r>
        <w:rPr>
          <w:rFonts w:ascii="Arial" w:hAnsi="Arial" w:cs="Arial"/>
          <w:sz w:val="20"/>
          <w:szCs w:val="20"/>
        </w:rPr>
        <w:t xml:space="preserve">sition : </w:t>
      </w:r>
      <w:r w:rsidRPr="00887BA7">
        <w:rPr>
          <w:rFonts w:ascii="Arial" w:hAnsi="Arial" w:cs="Arial"/>
          <w:sz w:val="20"/>
          <w:szCs w:val="20"/>
        </w:rPr>
        <w:t>proximité pour les appareils proches (ex : console de jeu en Wifi, TV connectée sans fil à la box)</w:t>
      </w:r>
      <w:r>
        <w:rPr>
          <w:rFonts w:ascii="Arial" w:hAnsi="Arial" w:cs="Arial"/>
          <w:sz w:val="20"/>
          <w:szCs w:val="20"/>
        </w:rPr>
        <w:t xml:space="preserve"> + ambiante et permanente si les emissions sont soit mal-maîtrisées soit subies (ou les deux)</w:t>
      </w:r>
    </w:p>
    <w:p w:rsidR="008645DF" w:rsidRPr="0087778D" w:rsidRDefault="008645DF" w:rsidP="008645DF">
      <w:pPr>
        <w:pStyle w:val="Titre2"/>
        <w:rPr>
          <w:rFonts w:ascii="Arial" w:hAnsi="Arial" w:cs="Arial"/>
          <w:sz w:val="22"/>
          <w:szCs w:val="22"/>
        </w:rPr>
      </w:pPr>
      <w:r w:rsidRPr="0087778D">
        <w:rPr>
          <w:rFonts w:ascii="Arial" w:hAnsi="Arial" w:cs="Arial"/>
          <w:sz w:val="22"/>
          <w:szCs w:val="22"/>
        </w:rPr>
        <w:t>Objets connectés / Domotique</w:t>
      </w:r>
    </w:p>
    <w:p w:rsidR="008645DF" w:rsidRPr="00887BA7" w:rsidRDefault="008645DF" w:rsidP="008645DF">
      <w:pPr>
        <w:pStyle w:val="Listepuces"/>
        <w:jc w:val="both"/>
        <w:rPr>
          <w:rFonts w:ascii="Arial" w:hAnsi="Arial" w:cs="Arial"/>
          <w:sz w:val="20"/>
          <w:szCs w:val="20"/>
        </w:rPr>
      </w:pPr>
      <w:r w:rsidRPr="00887BA7">
        <w:rPr>
          <w:rFonts w:ascii="Arial" w:hAnsi="Arial" w:cs="Arial"/>
          <w:sz w:val="20"/>
          <w:szCs w:val="20"/>
        </w:rPr>
        <w:t xml:space="preserve">Bandes de fréquence : </w:t>
      </w:r>
    </w:p>
    <w:p w:rsidR="008645DF" w:rsidRPr="00887BA7" w:rsidRDefault="008645DF" w:rsidP="008645DF">
      <w:pPr>
        <w:pStyle w:val="Listepuces"/>
        <w:numPr>
          <w:ilvl w:val="0"/>
          <w:numId w:val="0"/>
        </w:numPr>
        <w:ind w:left="360"/>
        <w:rPr>
          <w:rFonts w:ascii="Arial" w:hAnsi="Arial" w:cs="Arial"/>
          <w:sz w:val="20"/>
          <w:szCs w:val="20"/>
        </w:rPr>
      </w:pPr>
      <w:r w:rsidRPr="0087778D">
        <w:rPr>
          <w:rFonts w:ascii="Arial" w:hAnsi="Arial" w:cs="Arial"/>
          <w:b/>
          <w:sz w:val="20"/>
          <w:szCs w:val="20"/>
        </w:rPr>
        <w:t>ZigBee</w:t>
      </w:r>
      <w:r w:rsidRPr="00887BA7">
        <w:rPr>
          <w:rFonts w:ascii="Arial" w:hAnsi="Arial" w:cs="Arial"/>
          <w:sz w:val="20"/>
          <w:szCs w:val="20"/>
        </w:rPr>
        <w:t xml:space="preserve"> : 2.4 GHz</w:t>
      </w:r>
      <w:r w:rsidRPr="00887BA7">
        <w:rPr>
          <w:rFonts w:ascii="Arial" w:hAnsi="Arial" w:cs="Arial"/>
          <w:sz w:val="20"/>
          <w:szCs w:val="20"/>
        </w:rPr>
        <w:br/>
      </w:r>
      <w:r w:rsidRPr="0087778D">
        <w:rPr>
          <w:rFonts w:ascii="Arial" w:hAnsi="Arial" w:cs="Arial"/>
          <w:b/>
          <w:sz w:val="20"/>
          <w:szCs w:val="20"/>
        </w:rPr>
        <w:t>Z-Wave</w:t>
      </w:r>
      <w:r w:rsidRPr="00887BA7">
        <w:rPr>
          <w:rFonts w:ascii="Arial" w:hAnsi="Arial" w:cs="Arial"/>
          <w:sz w:val="20"/>
          <w:szCs w:val="20"/>
        </w:rPr>
        <w:t xml:space="preserve"> : 868 MHz</w:t>
      </w:r>
      <w:r w:rsidRPr="00887BA7">
        <w:rPr>
          <w:rFonts w:ascii="Arial" w:hAnsi="Arial" w:cs="Arial"/>
          <w:sz w:val="20"/>
          <w:szCs w:val="20"/>
        </w:rPr>
        <w:br/>
      </w:r>
      <w:r w:rsidRPr="0087778D">
        <w:rPr>
          <w:rFonts w:ascii="Arial" w:hAnsi="Arial" w:cs="Arial"/>
          <w:b/>
          <w:sz w:val="20"/>
          <w:szCs w:val="20"/>
        </w:rPr>
        <w:t>Bluetooth</w:t>
      </w:r>
      <w:r w:rsidRPr="00887BA7">
        <w:rPr>
          <w:rFonts w:ascii="Arial" w:hAnsi="Arial" w:cs="Arial"/>
          <w:sz w:val="20"/>
          <w:szCs w:val="20"/>
        </w:rPr>
        <w:t xml:space="preserve"> : 2.4 GHz</w:t>
      </w:r>
      <w:r w:rsidRPr="00887BA7">
        <w:rPr>
          <w:rFonts w:ascii="Arial" w:hAnsi="Arial" w:cs="Arial"/>
          <w:sz w:val="20"/>
          <w:szCs w:val="20"/>
        </w:rPr>
        <w:br/>
      </w:r>
      <w:r w:rsidRPr="0087778D">
        <w:rPr>
          <w:rFonts w:ascii="Arial" w:hAnsi="Arial" w:cs="Arial"/>
          <w:b/>
          <w:sz w:val="20"/>
          <w:szCs w:val="20"/>
        </w:rPr>
        <w:t>LoRa</w:t>
      </w:r>
      <w:r w:rsidRPr="00887BA7">
        <w:rPr>
          <w:rFonts w:ascii="Arial" w:hAnsi="Arial" w:cs="Arial"/>
          <w:sz w:val="20"/>
          <w:szCs w:val="20"/>
        </w:rPr>
        <w:t xml:space="preserve"> : 868 MHz</w:t>
      </w:r>
      <w:r w:rsidRPr="00887BA7">
        <w:rPr>
          <w:rFonts w:ascii="Arial" w:hAnsi="Arial" w:cs="Arial"/>
          <w:sz w:val="20"/>
          <w:szCs w:val="20"/>
        </w:rPr>
        <w:br/>
      </w:r>
      <w:r w:rsidRPr="0087778D">
        <w:rPr>
          <w:rFonts w:ascii="Arial" w:hAnsi="Arial" w:cs="Arial"/>
          <w:b/>
          <w:sz w:val="20"/>
          <w:szCs w:val="20"/>
        </w:rPr>
        <w:t>RFID</w:t>
      </w:r>
      <w:r w:rsidRPr="00887BA7">
        <w:rPr>
          <w:rFonts w:ascii="Arial" w:hAnsi="Arial" w:cs="Arial"/>
          <w:sz w:val="20"/>
          <w:szCs w:val="20"/>
        </w:rPr>
        <w:t xml:space="preserve"> : </w:t>
      </w:r>
      <w:r w:rsidRPr="001F0078">
        <w:rPr>
          <w:rFonts w:ascii="Arial" w:hAnsi="Arial" w:cs="Arial"/>
          <w:color w:val="4F6228" w:themeColor="accent3" w:themeShade="80"/>
          <w:sz w:val="20"/>
          <w:szCs w:val="20"/>
        </w:rPr>
        <w:t>13.56 MHz</w:t>
      </w:r>
      <w:r w:rsidRPr="00887BA7">
        <w:rPr>
          <w:rFonts w:ascii="Arial" w:hAnsi="Arial" w:cs="Arial"/>
          <w:sz w:val="20"/>
          <w:szCs w:val="20"/>
        </w:rPr>
        <w:t>, 860–960 MHz</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Lieux d’exposition : domicile, travail, transports, é</w:t>
      </w:r>
      <w:r w:rsidRPr="00887BA7">
        <w:rPr>
          <w:rFonts w:ascii="Arial" w:hAnsi="Arial" w:cs="Arial"/>
          <w:sz w:val="20"/>
          <w:szCs w:val="20"/>
        </w:rPr>
        <w:t>tablissements scolaires</w:t>
      </w:r>
    </w:p>
    <w:p w:rsidR="008645DF" w:rsidRPr="00887BA7" w:rsidRDefault="008645DF" w:rsidP="008645DF">
      <w:pPr>
        <w:pStyle w:val="Listepuces"/>
        <w:jc w:val="both"/>
        <w:rPr>
          <w:rFonts w:ascii="Arial" w:hAnsi="Arial" w:cs="Arial"/>
          <w:sz w:val="20"/>
          <w:szCs w:val="20"/>
        </w:rPr>
      </w:pPr>
      <w:r w:rsidRPr="00887BA7">
        <w:rPr>
          <w:rFonts w:ascii="Arial" w:hAnsi="Arial" w:cs="Arial"/>
          <w:sz w:val="20"/>
          <w:szCs w:val="20"/>
        </w:rPr>
        <w:t>Type d</w:t>
      </w:r>
      <w:r>
        <w:rPr>
          <w:rFonts w:ascii="Arial" w:hAnsi="Arial" w:cs="Arial"/>
          <w:sz w:val="20"/>
          <w:szCs w:val="20"/>
        </w:rPr>
        <w:t>’exposition : p</w:t>
      </w:r>
      <w:r w:rsidRPr="00887BA7">
        <w:rPr>
          <w:rFonts w:ascii="Arial" w:hAnsi="Arial" w:cs="Arial"/>
          <w:sz w:val="20"/>
          <w:szCs w:val="20"/>
        </w:rPr>
        <w:t>roximité directe (ex : montre connectée, casque Bluetooth) ou ambiante selon les objets</w:t>
      </w:r>
    </w:p>
    <w:p w:rsidR="008645DF" w:rsidRPr="0087778D" w:rsidRDefault="008645DF" w:rsidP="008645DF">
      <w:pPr>
        <w:pStyle w:val="Titre2"/>
        <w:rPr>
          <w:rFonts w:ascii="Arial" w:hAnsi="Arial" w:cs="Arial"/>
          <w:sz w:val="22"/>
          <w:szCs w:val="22"/>
        </w:rPr>
      </w:pPr>
      <w:r w:rsidRPr="0087778D">
        <w:rPr>
          <w:rFonts w:ascii="Arial" w:hAnsi="Arial" w:cs="Arial"/>
          <w:sz w:val="22"/>
          <w:szCs w:val="22"/>
        </w:rPr>
        <w:t>Radio / Télévision hertzienne</w:t>
      </w:r>
    </w:p>
    <w:p w:rsidR="008645DF" w:rsidRDefault="008645DF" w:rsidP="008645DF">
      <w:pPr>
        <w:pStyle w:val="Listepuces"/>
        <w:jc w:val="both"/>
        <w:rPr>
          <w:rFonts w:ascii="Arial" w:hAnsi="Arial" w:cs="Arial"/>
          <w:sz w:val="20"/>
          <w:szCs w:val="20"/>
        </w:rPr>
      </w:pPr>
      <w:r w:rsidRPr="00887BA7">
        <w:rPr>
          <w:rFonts w:ascii="Arial" w:hAnsi="Arial" w:cs="Arial"/>
          <w:sz w:val="20"/>
          <w:szCs w:val="20"/>
        </w:rPr>
        <w:t xml:space="preserve">Bandes de fréquence : </w:t>
      </w:r>
    </w:p>
    <w:p w:rsidR="008645DF" w:rsidRPr="00887BA7" w:rsidRDefault="008645DF" w:rsidP="008645DF">
      <w:pPr>
        <w:pStyle w:val="Listepuces"/>
        <w:numPr>
          <w:ilvl w:val="0"/>
          <w:numId w:val="0"/>
        </w:numPr>
        <w:ind w:left="360"/>
        <w:rPr>
          <w:rFonts w:ascii="Arial" w:hAnsi="Arial" w:cs="Arial"/>
          <w:sz w:val="20"/>
          <w:szCs w:val="20"/>
        </w:rPr>
      </w:pPr>
      <w:r w:rsidRPr="009D3269">
        <w:rPr>
          <w:rFonts w:ascii="Arial" w:hAnsi="Arial" w:cs="Arial"/>
          <w:b/>
          <w:sz w:val="20"/>
          <w:szCs w:val="20"/>
        </w:rPr>
        <w:t>FM</w:t>
      </w:r>
      <w:r w:rsidRPr="00887BA7">
        <w:rPr>
          <w:rFonts w:ascii="Arial" w:hAnsi="Arial" w:cs="Arial"/>
          <w:sz w:val="20"/>
          <w:szCs w:val="20"/>
        </w:rPr>
        <w:t xml:space="preserve"> : </w:t>
      </w:r>
      <w:r w:rsidRPr="001F0078">
        <w:rPr>
          <w:rFonts w:ascii="Arial" w:hAnsi="Arial" w:cs="Arial"/>
          <w:color w:val="4F6228" w:themeColor="accent3" w:themeShade="80"/>
          <w:sz w:val="20"/>
          <w:szCs w:val="20"/>
        </w:rPr>
        <w:t>88–108 MHz</w:t>
      </w:r>
      <w:r w:rsidRPr="00887BA7">
        <w:rPr>
          <w:rFonts w:ascii="Arial" w:hAnsi="Arial" w:cs="Arial"/>
          <w:sz w:val="20"/>
          <w:szCs w:val="20"/>
        </w:rPr>
        <w:br/>
      </w:r>
      <w:r w:rsidRPr="009D3269">
        <w:rPr>
          <w:rFonts w:ascii="Arial" w:hAnsi="Arial" w:cs="Arial"/>
          <w:b/>
          <w:sz w:val="20"/>
          <w:szCs w:val="20"/>
        </w:rPr>
        <w:t>DAB+</w:t>
      </w:r>
      <w:r w:rsidRPr="00887BA7">
        <w:rPr>
          <w:rFonts w:ascii="Arial" w:hAnsi="Arial" w:cs="Arial"/>
          <w:sz w:val="20"/>
          <w:szCs w:val="20"/>
        </w:rPr>
        <w:t xml:space="preserve"> : </w:t>
      </w:r>
      <w:r w:rsidRPr="001F0078">
        <w:rPr>
          <w:rFonts w:ascii="Arial" w:hAnsi="Arial" w:cs="Arial"/>
          <w:color w:val="4F6228" w:themeColor="accent3" w:themeShade="80"/>
          <w:sz w:val="20"/>
          <w:szCs w:val="20"/>
        </w:rPr>
        <w:t>174–240 MHz</w:t>
      </w:r>
      <w:r w:rsidRPr="00887BA7">
        <w:rPr>
          <w:rFonts w:ascii="Arial" w:hAnsi="Arial" w:cs="Arial"/>
          <w:sz w:val="20"/>
          <w:szCs w:val="20"/>
        </w:rPr>
        <w:br/>
      </w:r>
      <w:r w:rsidRPr="009D3269">
        <w:rPr>
          <w:rFonts w:ascii="Arial" w:hAnsi="Arial" w:cs="Arial"/>
          <w:b/>
          <w:sz w:val="20"/>
          <w:szCs w:val="20"/>
        </w:rPr>
        <w:t>TNT</w:t>
      </w:r>
      <w:r w:rsidRPr="00887BA7">
        <w:rPr>
          <w:rFonts w:ascii="Arial" w:hAnsi="Arial" w:cs="Arial"/>
          <w:sz w:val="20"/>
          <w:szCs w:val="20"/>
        </w:rPr>
        <w:t xml:space="preserve"> : 470–694 MHz</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Lieux d’exposition : domicile, travail, e</w:t>
      </w:r>
      <w:r w:rsidRPr="00887BA7">
        <w:rPr>
          <w:rFonts w:ascii="Arial" w:hAnsi="Arial" w:cs="Arial"/>
          <w:sz w:val="20"/>
          <w:szCs w:val="20"/>
        </w:rPr>
        <w:t>spaces publics (faible)</w:t>
      </w:r>
    </w:p>
    <w:p w:rsidR="008645DF" w:rsidRDefault="008645DF" w:rsidP="008645DF">
      <w:pPr>
        <w:pStyle w:val="Listepuces"/>
        <w:jc w:val="both"/>
        <w:rPr>
          <w:rFonts w:ascii="Arial" w:hAnsi="Arial" w:cs="Arial"/>
          <w:sz w:val="20"/>
          <w:szCs w:val="20"/>
        </w:rPr>
      </w:pPr>
      <w:r>
        <w:rPr>
          <w:rFonts w:ascii="Arial" w:hAnsi="Arial" w:cs="Arial"/>
          <w:sz w:val="20"/>
          <w:szCs w:val="20"/>
        </w:rPr>
        <w:t>Type d’exposition : de proximité + ambiante, à des niveaux variables</w:t>
      </w:r>
    </w:p>
    <w:p w:rsidR="008645DF" w:rsidRPr="00C63BED" w:rsidRDefault="008645DF" w:rsidP="008645DF">
      <w:pPr>
        <w:pStyle w:val="Titre2"/>
        <w:rPr>
          <w:rFonts w:ascii="Arial" w:hAnsi="Arial" w:cs="Arial"/>
          <w:sz w:val="22"/>
          <w:szCs w:val="22"/>
        </w:rPr>
      </w:pPr>
      <w:r w:rsidRPr="00C63BED">
        <w:rPr>
          <w:rFonts w:ascii="Arial" w:hAnsi="Arial" w:cs="Arial"/>
          <w:sz w:val="22"/>
          <w:szCs w:val="22"/>
        </w:rPr>
        <w:t>PMR (Professional Mobile Radio)</w:t>
      </w:r>
    </w:p>
    <w:p w:rsidR="008645DF" w:rsidRPr="00C63BED" w:rsidRDefault="008645DF" w:rsidP="008645DF">
      <w:pPr>
        <w:pStyle w:val="Listepuces"/>
        <w:jc w:val="both"/>
        <w:rPr>
          <w:rFonts w:ascii="Arial" w:hAnsi="Arial" w:cs="Arial"/>
          <w:sz w:val="20"/>
          <w:szCs w:val="20"/>
        </w:rPr>
      </w:pPr>
      <w:r w:rsidRPr="00C63BED">
        <w:rPr>
          <w:rFonts w:ascii="Arial" w:hAnsi="Arial" w:cs="Arial"/>
          <w:sz w:val="20"/>
          <w:szCs w:val="20"/>
        </w:rPr>
        <w:t xml:space="preserve">Bandes de fréquence : </w:t>
      </w:r>
    </w:p>
    <w:p w:rsidR="008645DF" w:rsidRDefault="008645DF" w:rsidP="008645DF">
      <w:pPr>
        <w:pStyle w:val="Listepuces"/>
        <w:numPr>
          <w:ilvl w:val="0"/>
          <w:numId w:val="0"/>
        </w:numPr>
        <w:ind w:left="360"/>
        <w:jc w:val="both"/>
        <w:rPr>
          <w:rFonts w:ascii="Arial" w:hAnsi="Arial" w:cs="Arial"/>
          <w:sz w:val="20"/>
          <w:szCs w:val="20"/>
        </w:rPr>
      </w:pPr>
      <w:r w:rsidRPr="00C63BED">
        <w:rPr>
          <w:rStyle w:val="lev"/>
          <w:rFonts w:ascii="Arial" w:hAnsi="Arial" w:cs="Arial"/>
          <w:sz w:val="20"/>
          <w:szCs w:val="20"/>
        </w:rPr>
        <w:t>Bande VHF</w:t>
      </w:r>
      <w:r w:rsidRPr="00C63BED">
        <w:rPr>
          <w:rFonts w:ascii="Arial" w:hAnsi="Arial" w:cs="Arial"/>
          <w:sz w:val="20"/>
          <w:szCs w:val="20"/>
        </w:rPr>
        <w:t xml:space="preserve"> (Très Haute Fréquence) : </w:t>
      </w:r>
      <w:r w:rsidRPr="001F0078">
        <w:rPr>
          <w:rStyle w:val="lev"/>
          <w:rFonts w:ascii="Arial" w:hAnsi="Arial" w:cs="Arial"/>
          <w:color w:val="4F6228" w:themeColor="accent3" w:themeShade="80"/>
          <w:sz w:val="20"/>
          <w:szCs w:val="20"/>
        </w:rPr>
        <w:t>136-174 MHz</w:t>
      </w:r>
      <w:r>
        <w:rPr>
          <w:rFonts w:ascii="Arial" w:hAnsi="Arial" w:cs="Arial"/>
          <w:sz w:val="20"/>
          <w:szCs w:val="20"/>
        </w:rPr>
        <w:t xml:space="preserve"> (bonne portée, en extérieur)</w:t>
      </w:r>
    </w:p>
    <w:p w:rsidR="008645DF" w:rsidRPr="00C63BED" w:rsidRDefault="008645DF" w:rsidP="008645DF">
      <w:pPr>
        <w:pStyle w:val="Listepuces"/>
        <w:numPr>
          <w:ilvl w:val="0"/>
          <w:numId w:val="0"/>
        </w:numPr>
        <w:ind w:left="360"/>
        <w:jc w:val="both"/>
        <w:rPr>
          <w:rFonts w:ascii="Arial" w:hAnsi="Arial" w:cs="Arial"/>
          <w:sz w:val="20"/>
          <w:szCs w:val="20"/>
        </w:rPr>
      </w:pPr>
      <w:r w:rsidRPr="00C63BED">
        <w:rPr>
          <w:rStyle w:val="lev"/>
          <w:rFonts w:ascii="Arial" w:hAnsi="Arial" w:cs="Arial"/>
          <w:sz w:val="20"/>
          <w:szCs w:val="20"/>
        </w:rPr>
        <w:t>Bande UHF</w:t>
      </w:r>
      <w:r w:rsidRPr="00C63BED">
        <w:rPr>
          <w:rFonts w:ascii="Arial" w:hAnsi="Arial" w:cs="Arial"/>
          <w:sz w:val="20"/>
          <w:szCs w:val="20"/>
        </w:rPr>
        <w:t xml:space="preserve"> (Ultra Haute Fréquence) : </w:t>
      </w:r>
      <w:r w:rsidRPr="00C63BED">
        <w:rPr>
          <w:rStyle w:val="lev"/>
          <w:rFonts w:ascii="Arial" w:hAnsi="Arial" w:cs="Arial"/>
          <w:sz w:val="20"/>
          <w:szCs w:val="20"/>
        </w:rPr>
        <w:t>380-470 MHz</w:t>
      </w:r>
      <w:r>
        <w:rPr>
          <w:rFonts w:ascii="Arial" w:hAnsi="Arial" w:cs="Arial"/>
          <w:sz w:val="20"/>
          <w:szCs w:val="20"/>
        </w:rPr>
        <w:t xml:space="preserve"> (</w:t>
      </w:r>
      <w:r w:rsidRPr="00C63BED">
        <w:rPr>
          <w:rFonts w:ascii="Arial" w:hAnsi="Arial" w:cs="Arial"/>
          <w:sz w:val="20"/>
          <w:szCs w:val="20"/>
        </w:rPr>
        <w:t>environnements urbains et intérieurs</w:t>
      </w:r>
      <w:r>
        <w:rPr>
          <w:rFonts w:ascii="Arial" w:hAnsi="Arial" w:cs="Arial"/>
          <w:sz w:val="20"/>
          <w:szCs w:val="20"/>
        </w:rPr>
        <w:t>)</w:t>
      </w:r>
    </w:p>
    <w:p w:rsidR="008645DF" w:rsidRPr="00C63BED" w:rsidRDefault="008645DF" w:rsidP="008645DF">
      <w:pPr>
        <w:pStyle w:val="Listepuces"/>
        <w:numPr>
          <w:ilvl w:val="0"/>
          <w:numId w:val="0"/>
        </w:numPr>
        <w:ind w:left="360"/>
        <w:jc w:val="both"/>
        <w:rPr>
          <w:rFonts w:ascii="Arial" w:hAnsi="Arial" w:cs="Arial"/>
          <w:sz w:val="20"/>
          <w:szCs w:val="20"/>
        </w:rPr>
      </w:pPr>
      <w:r w:rsidRPr="00C63BED">
        <w:rPr>
          <w:rStyle w:val="lev"/>
          <w:rFonts w:ascii="Arial" w:hAnsi="Arial" w:cs="Arial"/>
          <w:sz w:val="20"/>
          <w:szCs w:val="20"/>
        </w:rPr>
        <w:t>PMR 446</w:t>
      </w:r>
      <w:r w:rsidRPr="00C63BED">
        <w:rPr>
          <w:rFonts w:ascii="Arial" w:hAnsi="Arial" w:cs="Arial"/>
          <w:sz w:val="20"/>
          <w:szCs w:val="20"/>
        </w:rPr>
        <w:t xml:space="preserve"> : </w:t>
      </w:r>
      <w:r w:rsidRPr="00C63BED">
        <w:rPr>
          <w:rStyle w:val="lev"/>
          <w:rFonts w:ascii="Arial" w:hAnsi="Arial" w:cs="Arial"/>
          <w:sz w:val="20"/>
          <w:szCs w:val="20"/>
        </w:rPr>
        <w:t>446-446,2 MHz</w:t>
      </w:r>
      <w:r>
        <w:rPr>
          <w:rFonts w:ascii="Arial" w:hAnsi="Arial" w:cs="Arial"/>
          <w:sz w:val="20"/>
          <w:szCs w:val="20"/>
        </w:rPr>
        <w:t xml:space="preserve"> (</w:t>
      </w:r>
      <w:r w:rsidRPr="00C63BED">
        <w:rPr>
          <w:rFonts w:ascii="Arial" w:hAnsi="Arial" w:cs="Arial"/>
          <w:sz w:val="20"/>
          <w:szCs w:val="20"/>
        </w:rPr>
        <w:t>bande libre d'utilisation pour les talkies-walkies sans licence</w:t>
      </w:r>
      <w:r>
        <w:rPr>
          <w:rFonts w:ascii="Arial" w:hAnsi="Arial" w:cs="Arial"/>
          <w:sz w:val="20"/>
          <w:szCs w:val="20"/>
        </w:rPr>
        <w:t>, ex.: pour enfants)</w:t>
      </w:r>
    </w:p>
    <w:p w:rsidR="008645DF" w:rsidRPr="00C63BED" w:rsidRDefault="008645DF" w:rsidP="008645DF">
      <w:pPr>
        <w:pStyle w:val="Listepuces"/>
        <w:numPr>
          <w:ilvl w:val="0"/>
          <w:numId w:val="0"/>
        </w:numPr>
        <w:ind w:left="360"/>
        <w:jc w:val="both"/>
        <w:rPr>
          <w:rFonts w:ascii="Arial" w:hAnsi="Arial" w:cs="Arial"/>
          <w:sz w:val="20"/>
          <w:szCs w:val="20"/>
        </w:rPr>
      </w:pPr>
      <w:r w:rsidRPr="00C63BED">
        <w:rPr>
          <w:rStyle w:val="lev"/>
          <w:rFonts w:ascii="Arial" w:hAnsi="Arial" w:cs="Arial"/>
          <w:sz w:val="20"/>
          <w:szCs w:val="20"/>
        </w:rPr>
        <w:t>GSM-R</w:t>
      </w:r>
      <w:r w:rsidRPr="00C63BED">
        <w:rPr>
          <w:rFonts w:ascii="Arial" w:hAnsi="Arial" w:cs="Arial"/>
          <w:sz w:val="20"/>
          <w:szCs w:val="20"/>
        </w:rPr>
        <w:t xml:space="preserve"> (réseau ferroviaire) : </w:t>
      </w:r>
      <w:r w:rsidRPr="006942E0">
        <w:rPr>
          <w:rStyle w:val="lev"/>
          <w:rFonts w:ascii="Arial" w:hAnsi="Arial" w:cs="Arial"/>
          <w:sz w:val="20"/>
          <w:szCs w:val="20"/>
        </w:rPr>
        <w:t>876-880 MHz et 921-925 MHz</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Lieux d’exposition : espaces publics, de loisirs, transport ferroviaire</w:t>
      </w:r>
    </w:p>
    <w:p w:rsidR="008645DF" w:rsidRDefault="008645DF" w:rsidP="008645DF">
      <w:pPr>
        <w:pStyle w:val="Listepuces"/>
        <w:jc w:val="both"/>
        <w:rPr>
          <w:rFonts w:ascii="Arial" w:hAnsi="Arial" w:cs="Arial"/>
          <w:sz w:val="20"/>
          <w:szCs w:val="20"/>
        </w:rPr>
      </w:pPr>
      <w:r>
        <w:rPr>
          <w:rFonts w:ascii="Arial" w:hAnsi="Arial" w:cs="Arial"/>
          <w:sz w:val="20"/>
          <w:szCs w:val="20"/>
        </w:rPr>
        <w:t>Type d’exposition : de proximité + ambiante ou intermittente, à des niveaux variables selon la distance à l’émetteur</w:t>
      </w:r>
    </w:p>
    <w:p w:rsidR="008645DF" w:rsidRPr="009D3269" w:rsidRDefault="008645DF" w:rsidP="008645DF">
      <w:pPr>
        <w:pStyle w:val="Titre2"/>
        <w:rPr>
          <w:rFonts w:ascii="Arial" w:hAnsi="Arial" w:cs="Arial"/>
          <w:sz w:val="22"/>
          <w:szCs w:val="22"/>
        </w:rPr>
      </w:pPr>
      <w:r w:rsidRPr="009D3269">
        <w:rPr>
          <w:rFonts w:ascii="Arial" w:hAnsi="Arial" w:cs="Arial"/>
          <w:sz w:val="22"/>
          <w:szCs w:val="22"/>
        </w:rPr>
        <w:t>Radars (transports, météo, militaires)</w:t>
      </w:r>
    </w:p>
    <w:p w:rsidR="008645DF" w:rsidRPr="00887BA7" w:rsidRDefault="008645DF" w:rsidP="008645DF">
      <w:pPr>
        <w:pStyle w:val="Listepuces"/>
        <w:jc w:val="both"/>
        <w:rPr>
          <w:rFonts w:ascii="Arial" w:hAnsi="Arial" w:cs="Arial"/>
          <w:sz w:val="20"/>
          <w:szCs w:val="20"/>
        </w:rPr>
      </w:pPr>
      <w:r w:rsidRPr="00887BA7">
        <w:rPr>
          <w:rFonts w:ascii="Arial" w:hAnsi="Arial" w:cs="Arial"/>
          <w:sz w:val="20"/>
          <w:szCs w:val="20"/>
        </w:rPr>
        <w:t>Ba</w:t>
      </w:r>
      <w:r>
        <w:rPr>
          <w:rFonts w:ascii="Arial" w:hAnsi="Arial" w:cs="Arial"/>
          <w:sz w:val="20"/>
          <w:szCs w:val="20"/>
        </w:rPr>
        <w:t xml:space="preserve">ndes de fréquence : de </w:t>
      </w:r>
      <w:r w:rsidRPr="00887BA7">
        <w:rPr>
          <w:rFonts w:ascii="Arial" w:hAnsi="Arial" w:cs="Arial"/>
          <w:sz w:val="20"/>
          <w:szCs w:val="20"/>
        </w:rPr>
        <w:t>1 à 40 GHz</w:t>
      </w:r>
      <w:r>
        <w:rPr>
          <w:rFonts w:ascii="Arial" w:hAnsi="Arial" w:cs="Arial"/>
          <w:sz w:val="20"/>
          <w:szCs w:val="20"/>
        </w:rPr>
        <w:t xml:space="preserve"> (ex : les radars de vitesse utilisent généralement la bande de 24 GHz)</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lastRenderedPageBreak/>
        <w:t>Lieux d’exposition : transports (routes), z</w:t>
      </w:r>
      <w:r w:rsidRPr="00887BA7">
        <w:rPr>
          <w:rFonts w:ascii="Arial" w:hAnsi="Arial" w:cs="Arial"/>
          <w:sz w:val="20"/>
          <w:szCs w:val="20"/>
        </w:rPr>
        <w:t>ones militaires/aéroportuaires</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Type d’exposition : l</w:t>
      </w:r>
      <w:r w:rsidRPr="00887BA7">
        <w:rPr>
          <w:rFonts w:ascii="Arial" w:hAnsi="Arial" w:cs="Arial"/>
          <w:sz w:val="20"/>
          <w:szCs w:val="20"/>
        </w:rPr>
        <w:t>ocalisée, intermittente</w:t>
      </w:r>
      <w:r>
        <w:rPr>
          <w:rFonts w:ascii="Arial" w:hAnsi="Arial" w:cs="Arial"/>
          <w:sz w:val="20"/>
          <w:szCs w:val="20"/>
        </w:rPr>
        <w:t xml:space="preserve"> (quid des maisons dans le faisceau en ville ?)</w:t>
      </w:r>
    </w:p>
    <w:p w:rsidR="008645DF" w:rsidRPr="009D3269" w:rsidRDefault="008645DF" w:rsidP="008645DF">
      <w:pPr>
        <w:pStyle w:val="Titre2"/>
        <w:rPr>
          <w:rFonts w:ascii="Arial" w:hAnsi="Arial" w:cs="Arial"/>
          <w:sz w:val="22"/>
          <w:szCs w:val="22"/>
        </w:rPr>
      </w:pPr>
      <w:r w:rsidRPr="009D3269">
        <w:rPr>
          <w:rFonts w:ascii="Arial" w:hAnsi="Arial" w:cs="Arial"/>
          <w:sz w:val="22"/>
          <w:szCs w:val="22"/>
        </w:rPr>
        <w:t>Four à micro-ondes</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Bande</w:t>
      </w:r>
      <w:r w:rsidRPr="00887BA7">
        <w:rPr>
          <w:rFonts w:ascii="Arial" w:hAnsi="Arial" w:cs="Arial"/>
          <w:sz w:val="20"/>
          <w:szCs w:val="20"/>
        </w:rPr>
        <w:t xml:space="preserve"> de fréquence : 2.45 GHz</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Lieux d’exposition : domicile, travail (cuisine</w:t>
      </w:r>
      <w:r w:rsidRPr="00887BA7">
        <w:rPr>
          <w:rFonts w:ascii="Arial" w:hAnsi="Arial" w:cs="Arial"/>
          <w:sz w:val="20"/>
          <w:szCs w:val="20"/>
        </w:rPr>
        <w:t>)</w:t>
      </w:r>
      <w:r>
        <w:rPr>
          <w:rFonts w:ascii="Arial" w:hAnsi="Arial" w:cs="Arial"/>
          <w:sz w:val="20"/>
          <w:szCs w:val="20"/>
        </w:rPr>
        <w:t>, établissements scolaires (réfectoire)</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Type d’exposition : p</w:t>
      </w:r>
      <w:r w:rsidRPr="00887BA7">
        <w:rPr>
          <w:rFonts w:ascii="Arial" w:hAnsi="Arial" w:cs="Arial"/>
          <w:sz w:val="20"/>
          <w:szCs w:val="20"/>
        </w:rPr>
        <w:t>roximité directe</w:t>
      </w:r>
      <w:r>
        <w:rPr>
          <w:rFonts w:ascii="Arial" w:hAnsi="Arial" w:cs="Arial"/>
          <w:sz w:val="20"/>
          <w:szCs w:val="20"/>
        </w:rPr>
        <w:t xml:space="preserve">, intermittente, niveau </w:t>
      </w:r>
      <w:r w:rsidRPr="00887BA7">
        <w:rPr>
          <w:rFonts w:ascii="Arial" w:hAnsi="Arial" w:cs="Arial"/>
          <w:sz w:val="20"/>
          <w:szCs w:val="20"/>
        </w:rPr>
        <w:t xml:space="preserve">faible </w:t>
      </w:r>
      <w:r>
        <w:rPr>
          <w:rFonts w:ascii="Arial" w:hAnsi="Arial" w:cs="Arial"/>
          <w:sz w:val="20"/>
          <w:szCs w:val="20"/>
        </w:rPr>
        <w:t>(sauf si l’appareil “fuit”</w:t>
      </w:r>
      <w:r w:rsidRPr="00887BA7">
        <w:rPr>
          <w:rFonts w:ascii="Arial" w:hAnsi="Arial" w:cs="Arial"/>
          <w:sz w:val="20"/>
          <w:szCs w:val="20"/>
        </w:rPr>
        <w:t>)</w:t>
      </w:r>
    </w:p>
    <w:p w:rsidR="008645DF" w:rsidRPr="00C63BED" w:rsidRDefault="008645DF" w:rsidP="008645DF">
      <w:pPr>
        <w:pStyle w:val="Titre2"/>
        <w:rPr>
          <w:rFonts w:ascii="Arial" w:hAnsi="Arial" w:cs="Arial"/>
          <w:sz w:val="22"/>
          <w:szCs w:val="22"/>
        </w:rPr>
      </w:pPr>
      <w:r w:rsidRPr="00C63BED">
        <w:rPr>
          <w:rFonts w:ascii="Arial" w:hAnsi="Arial" w:cs="Arial"/>
          <w:sz w:val="22"/>
          <w:szCs w:val="22"/>
        </w:rPr>
        <w:t>Satellites (GPS, météo, communication)</w:t>
      </w:r>
    </w:p>
    <w:p w:rsidR="008645DF" w:rsidRDefault="008645DF" w:rsidP="008645DF">
      <w:pPr>
        <w:pStyle w:val="Listepuces"/>
        <w:jc w:val="both"/>
        <w:rPr>
          <w:rFonts w:ascii="Arial" w:hAnsi="Arial" w:cs="Arial"/>
          <w:sz w:val="20"/>
          <w:szCs w:val="20"/>
        </w:rPr>
      </w:pPr>
      <w:r w:rsidRPr="00887BA7">
        <w:rPr>
          <w:rFonts w:ascii="Arial" w:hAnsi="Arial" w:cs="Arial"/>
          <w:sz w:val="20"/>
          <w:szCs w:val="20"/>
        </w:rPr>
        <w:t xml:space="preserve">Bandes de fréquence : </w:t>
      </w:r>
    </w:p>
    <w:p w:rsidR="008645DF" w:rsidRPr="00887BA7" w:rsidRDefault="008645DF" w:rsidP="008645DF">
      <w:pPr>
        <w:pStyle w:val="Listepuces"/>
        <w:numPr>
          <w:ilvl w:val="0"/>
          <w:numId w:val="0"/>
        </w:numPr>
        <w:ind w:left="360"/>
        <w:rPr>
          <w:rFonts w:ascii="Arial" w:hAnsi="Arial" w:cs="Arial"/>
          <w:sz w:val="20"/>
          <w:szCs w:val="20"/>
        </w:rPr>
      </w:pPr>
      <w:r w:rsidRPr="006942E0">
        <w:rPr>
          <w:rFonts w:ascii="Arial" w:hAnsi="Arial" w:cs="Arial"/>
          <w:b/>
          <w:sz w:val="20"/>
          <w:szCs w:val="20"/>
        </w:rPr>
        <w:t>L</w:t>
      </w:r>
      <w:r w:rsidRPr="00887BA7">
        <w:rPr>
          <w:rFonts w:ascii="Arial" w:hAnsi="Arial" w:cs="Arial"/>
          <w:sz w:val="20"/>
          <w:szCs w:val="20"/>
        </w:rPr>
        <w:t xml:space="preserve"> : 1–2 GHz</w:t>
      </w:r>
      <w:r w:rsidRPr="00887BA7">
        <w:rPr>
          <w:rFonts w:ascii="Arial" w:hAnsi="Arial" w:cs="Arial"/>
          <w:sz w:val="20"/>
          <w:szCs w:val="20"/>
        </w:rPr>
        <w:br/>
      </w:r>
      <w:r w:rsidRPr="006942E0">
        <w:rPr>
          <w:rFonts w:ascii="Arial" w:hAnsi="Arial" w:cs="Arial"/>
          <w:b/>
          <w:sz w:val="20"/>
          <w:szCs w:val="20"/>
        </w:rPr>
        <w:t>Ku</w:t>
      </w:r>
      <w:r w:rsidRPr="00887BA7">
        <w:rPr>
          <w:rFonts w:ascii="Arial" w:hAnsi="Arial" w:cs="Arial"/>
          <w:sz w:val="20"/>
          <w:szCs w:val="20"/>
        </w:rPr>
        <w:t xml:space="preserve"> : 12–18 GHz</w:t>
      </w:r>
      <w:r w:rsidRPr="00887BA7">
        <w:rPr>
          <w:rFonts w:ascii="Arial" w:hAnsi="Arial" w:cs="Arial"/>
          <w:sz w:val="20"/>
          <w:szCs w:val="20"/>
        </w:rPr>
        <w:br/>
      </w:r>
      <w:r w:rsidRPr="006942E0">
        <w:rPr>
          <w:rFonts w:ascii="Arial" w:hAnsi="Arial" w:cs="Arial"/>
          <w:b/>
          <w:sz w:val="20"/>
          <w:szCs w:val="20"/>
        </w:rPr>
        <w:t>Ka</w:t>
      </w:r>
      <w:r w:rsidRPr="00887BA7">
        <w:rPr>
          <w:rFonts w:ascii="Arial" w:hAnsi="Arial" w:cs="Arial"/>
          <w:sz w:val="20"/>
          <w:szCs w:val="20"/>
        </w:rPr>
        <w:t xml:space="preserve"> : 26–40 GHz</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Lieux d’exposition : domicile (GPS, TV satellite), t</w:t>
      </w:r>
      <w:r w:rsidRPr="00887BA7">
        <w:rPr>
          <w:rFonts w:ascii="Arial" w:hAnsi="Arial" w:cs="Arial"/>
          <w:sz w:val="20"/>
          <w:szCs w:val="20"/>
        </w:rPr>
        <w:t>ravail (aviation, logistique)</w:t>
      </w:r>
    </w:p>
    <w:p w:rsidR="008645DF" w:rsidRPr="00887BA7" w:rsidRDefault="008645DF" w:rsidP="008645DF">
      <w:pPr>
        <w:pStyle w:val="Listepuces"/>
        <w:jc w:val="both"/>
        <w:rPr>
          <w:rFonts w:ascii="Arial" w:hAnsi="Arial" w:cs="Arial"/>
          <w:sz w:val="20"/>
          <w:szCs w:val="20"/>
        </w:rPr>
      </w:pPr>
      <w:r w:rsidRPr="00887BA7">
        <w:rPr>
          <w:rFonts w:ascii="Arial" w:hAnsi="Arial" w:cs="Arial"/>
          <w:sz w:val="20"/>
          <w:szCs w:val="20"/>
        </w:rPr>
        <w:t>Type d’exposition : Ambiante (faible au sol)</w:t>
      </w:r>
    </w:p>
    <w:p w:rsidR="008645DF" w:rsidRPr="001F0078" w:rsidRDefault="008645DF" w:rsidP="008645DF">
      <w:pPr>
        <w:pStyle w:val="Titre2"/>
        <w:rPr>
          <w:rFonts w:ascii="Arial" w:hAnsi="Arial" w:cs="Arial"/>
          <w:sz w:val="22"/>
          <w:szCs w:val="22"/>
        </w:rPr>
      </w:pPr>
      <w:r w:rsidRPr="001F0078">
        <w:rPr>
          <w:rFonts w:ascii="Arial" w:hAnsi="Arial" w:cs="Arial"/>
          <w:sz w:val="22"/>
          <w:szCs w:val="22"/>
        </w:rPr>
        <w:t xml:space="preserve">Dispositifs médicaux   </w:t>
      </w:r>
    </w:p>
    <w:p w:rsidR="008645DF" w:rsidRPr="00887BA7" w:rsidRDefault="008645DF" w:rsidP="008645DF">
      <w:pPr>
        <w:pStyle w:val="Listepuces"/>
        <w:jc w:val="both"/>
        <w:rPr>
          <w:rFonts w:ascii="Arial" w:hAnsi="Arial" w:cs="Arial"/>
          <w:sz w:val="20"/>
          <w:szCs w:val="20"/>
        </w:rPr>
      </w:pPr>
      <w:r w:rsidRPr="00887BA7">
        <w:rPr>
          <w:rFonts w:ascii="Arial" w:hAnsi="Arial" w:cs="Arial"/>
          <w:sz w:val="20"/>
          <w:szCs w:val="20"/>
        </w:rPr>
        <w:t>Bandes de fréquence : 400 MHz – 2.4 GHz</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Lieux d’exposition : domicile (implants), h</w:t>
      </w:r>
      <w:r w:rsidRPr="00887BA7">
        <w:rPr>
          <w:rFonts w:ascii="Arial" w:hAnsi="Arial" w:cs="Arial"/>
          <w:sz w:val="20"/>
          <w:szCs w:val="20"/>
        </w:rPr>
        <w:t>ôpitaux</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Type d’exposition : p</w:t>
      </w:r>
      <w:r w:rsidRPr="00887BA7">
        <w:rPr>
          <w:rFonts w:ascii="Arial" w:hAnsi="Arial" w:cs="Arial"/>
          <w:sz w:val="20"/>
          <w:szCs w:val="20"/>
        </w:rPr>
        <w:t xml:space="preserve">roximité directe, faible puissance                       </w:t>
      </w:r>
    </w:p>
    <w:p w:rsidR="008645DF" w:rsidRPr="001F0078" w:rsidRDefault="008645DF" w:rsidP="008645DF">
      <w:pPr>
        <w:pStyle w:val="Titre2"/>
        <w:rPr>
          <w:rFonts w:ascii="Arial" w:hAnsi="Arial" w:cs="Arial"/>
          <w:sz w:val="22"/>
          <w:szCs w:val="22"/>
        </w:rPr>
      </w:pPr>
      <w:r w:rsidRPr="001F0078">
        <w:rPr>
          <w:rFonts w:ascii="Arial" w:hAnsi="Arial" w:cs="Arial"/>
          <w:sz w:val="22"/>
          <w:szCs w:val="22"/>
        </w:rPr>
        <w:t>Compteurs communicants / Répartiteurs de frais (de chauffage, d’eau chaude)</w:t>
      </w:r>
    </w:p>
    <w:p w:rsidR="008645DF" w:rsidRPr="00982EB4" w:rsidRDefault="008645DF" w:rsidP="008645DF">
      <w:pPr>
        <w:pStyle w:val="Listepuces"/>
        <w:jc w:val="both"/>
        <w:rPr>
          <w:rFonts w:ascii="Arial" w:hAnsi="Arial" w:cs="Arial"/>
          <w:sz w:val="20"/>
          <w:szCs w:val="20"/>
        </w:rPr>
      </w:pPr>
      <w:r w:rsidRPr="00982EB4">
        <w:rPr>
          <w:rFonts w:ascii="Arial" w:hAnsi="Arial" w:cs="Arial"/>
          <w:sz w:val="20"/>
          <w:szCs w:val="20"/>
        </w:rPr>
        <w:t xml:space="preserve">Bandes de fréquence : 868 MHz (parfois </w:t>
      </w:r>
      <w:r w:rsidRPr="00982EB4">
        <w:rPr>
          <w:rFonts w:ascii="Arial" w:hAnsi="Arial" w:cs="Arial"/>
          <w:color w:val="4F6228" w:themeColor="accent3" w:themeShade="80"/>
          <w:sz w:val="20"/>
          <w:szCs w:val="20"/>
        </w:rPr>
        <w:t>169 MHz</w:t>
      </w:r>
      <w:r w:rsidRPr="00982EB4">
        <w:rPr>
          <w:rFonts w:ascii="Arial" w:hAnsi="Arial" w:cs="Arial"/>
          <w:sz w:val="20"/>
          <w:szCs w:val="20"/>
        </w:rPr>
        <w:t xml:space="preserve"> : LoRa, wM-Bus)</w:t>
      </w:r>
    </w:p>
    <w:p w:rsidR="008645DF" w:rsidRPr="00982EB4" w:rsidRDefault="008645DF" w:rsidP="008645DF">
      <w:pPr>
        <w:pStyle w:val="Listepuces"/>
        <w:numPr>
          <w:ilvl w:val="0"/>
          <w:numId w:val="0"/>
        </w:numPr>
        <w:ind w:left="360"/>
        <w:jc w:val="both"/>
        <w:rPr>
          <w:rFonts w:ascii="Arial" w:hAnsi="Arial" w:cs="Arial"/>
          <w:sz w:val="20"/>
          <w:szCs w:val="20"/>
        </w:rPr>
      </w:pPr>
      <w:r w:rsidRPr="00982EB4">
        <w:rPr>
          <w:rFonts w:ascii="Arial" w:hAnsi="Arial" w:cs="Arial"/>
          <w:sz w:val="20"/>
          <w:szCs w:val="20"/>
        </w:rPr>
        <w:t xml:space="preserve">Concernant le compteur communicant Linky </w:t>
      </w:r>
      <w:r>
        <w:rPr>
          <w:rFonts w:ascii="Arial" w:hAnsi="Arial" w:cs="Arial"/>
          <w:sz w:val="20"/>
          <w:szCs w:val="20"/>
        </w:rPr>
        <w:t>qui utilise le Courant porteur en ligne (signal porté par l’onde 50 Hz du réseau électrique) :</w:t>
      </w:r>
    </w:p>
    <w:p w:rsidR="008645DF" w:rsidRPr="00982EB4" w:rsidRDefault="008645DF" w:rsidP="008645DF">
      <w:pPr>
        <w:pStyle w:val="Listepuces"/>
        <w:numPr>
          <w:ilvl w:val="0"/>
          <w:numId w:val="0"/>
        </w:numPr>
        <w:ind w:left="360"/>
        <w:jc w:val="both"/>
        <w:rPr>
          <w:rStyle w:val="lev"/>
          <w:rFonts w:ascii="Arial" w:hAnsi="Arial" w:cs="Arial"/>
          <w:b w:val="0"/>
          <w:color w:val="4F6228" w:themeColor="accent3" w:themeShade="80"/>
          <w:sz w:val="20"/>
          <w:szCs w:val="20"/>
        </w:rPr>
      </w:pPr>
      <w:r w:rsidRPr="00982EB4">
        <w:rPr>
          <w:rStyle w:val="lev"/>
          <w:rFonts w:ascii="Arial" w:hAnsi="Arial" w:cs="Arial"/>
          <w:sz w:val="20"/>
          <w:szCs w:val="20"/>
        </w:rPr>
        <w:t>G1</w:t>
      </w:r>
      <w:r w:rsidRPr="00982EB4">
        <w:rPr>
          <w:rFonts w:ascii="Arial" w:hAnsi="Arial" w:cs="Arial"/>
          <w:sz w:val="20"/>
          <w:szCs w:val="20"/>
        </w:rPr>
        <w:t xml:space="preserve"> </w:t>
      </w:r>
      <w:r>
        <w:rPr>
          <w:rFonts w:ascii="Arial" w:hAnsi="Arial" w:cs="Arial"/>
          <w:sz w:val="20"/>
          <w:szCs w:val="20"/>
        </w:rPr>
        <w:t xml:space="preserve">(premiers compteurs posés) </w:t>
      </w:r>
      <w:r w:rsidRPr="00982EB4">
        <w:rPr>
          <w:rFonts w:ascii="Arial" w:hAnsi="Arial" w:cs="Arial"/>
          <w:sz w:val="20"/>
          <w:szCs w:val="20"/>
        </w:rPr>
        <w:t xml:space="preserve">: fréquences </w:t>
      </w:r>
      <w:r w:rsidRPr="00982EB4">
        <w:rPr>
          <w:rFonts w:ascii="Arial" w:hAnsi="Arial" w:cs="Arial"/>
          <w:color w:val="4F6228" w:themeColor="accent3" w:themeShade="80"/>
          <w:sz w:val="20"/>
          <w:szCs w:val="20"/>
        </w:rPr>
        <w:t xml:space="preserve">entre </w:t>
      </w:r>
      <w:r w:rsidRPr="00982EB4">
        <w:rPr>
          <w:rStyle w:val="lev"/>
          <w:rFonts w:ascii="Arial" w:hAnsi="Arial" w:cs="Arial"/>
          <w:color w:val="4F6228" w:themeColor="accent3" w:themeShade="80"/>
          <w:sz w:val="20"/>
          <w:szCs w:val="20"/>
        </w:rPr>
        <w:t>63,3 kHz et 74 kHz</w:t>
      </w:r>
    </w:p>
    <w:p w:rsidR="008645DF" w:rsidRDefault="008645DF" w:rsidP="008645DF">
      <w:pPr>
        <w:pStyle w:val="Listepuces"/>
        <w:numPr>
          <w:ilvl w:val="0"/>
          <w:numId w:val="0"/>
        </w:numPr>
        <w:ind w:left="360"/>
        <w:jc w:val="both"/>
        <w:rPr>
          <w:rStyle w:val="lev"/>
          <w:rFonts w:ascii="Arial" w:hAnsi="Arial" w:cs="Arial"/>
          <w:b w:val="0"/>
          <w:sz w:val="20"/>
          <w:szCs w:val="20"/>
        </w:rPr>
      </w:pPr>
      <w:r w:rsidRPr="00982EB4">
        <w:rPr>
          <w:rStyle w:val="lev"/>
          <w:rFonts w:ascii="Arial" w:hAnsi="Arial" w:cs="Arial"/>
          <w:sz w:val="20"/>
          <w:szCs w:val="20"/>
        </w:rPr>
        <w:t>G3</w:t>
      </w:r>
      <w:r w:rsidRPr="00982EB4">
        <w:rPr>
          <w:rFonts w:ascii="Arial" w:hAnsi="Arial" w:cs="Arial"/>
          <w:sz w:val="20"/>
          <w:szCs w:val="20"/>
        </w:rPr>
        <w:t xml:space="preserve"> </w:t>
      </w:r>
      <w:r>
        <w:rPr>
          <w:rFonts w:ascii="Arial" w:hAnsi="Arial" w:cs="Arial"/>
          <w:sz w:val="20"/>
          <w:szCs w:val="20"/>
        </w:rPr>
        <w:t xml:space="preserve">: </w:t>
      </w:r>
      <w:r w:rsidRPr="00982EB4">
        <w:rPr>
          <w:rFonts w:ascii="Arial" w:hAnsi="Arial" w:cs="Arial"/>
          <w:sz w:val="20"/>
          <w:szCs w:val="20"/>
        </w:rPr>
        <w:t xml:space="preserve">fréquences </w:t>
      </w:r>
      <w:r w:rsidRPr="00982EB4">
        <w:rPr>
          <w:rFonts w:ascii="Arial" w:hAnsi="Arial" w:cs="Arial"/>
          <w:color w:val="4F6228" w:themeColor="accent3" w:themeShade="80"/>
          <w:sz w:val="20"/>
          <w:szCs w:val="20"/>
        </w:rPr>
        <w:t xml:space="preserve">entre </w:t>
      </w:r>
      <w:r w:rsidRPr="00982EB4">
        <w:rPr>
          <w:rStyle w:val="lev"/>
          <w:rFonts w:ascii="Arial" w:hAnsi="Arial" w:cs="Arial"/>
          <w:color w:val="4F6228" w:themeColor="accent3" w:themeShade="80"/>
          <w:sz w:val="20"/>
          <w:szCs w:val="20"/>
        </w:rPr>
        <w:t>35,9 kHz et 90,6 kHz</w:t>
      </w:r>
    </w:p>
    <w:p w:rsidR="008645DF" w:rsidRPr="00982EB4" w:rsidRDefault="008645DF" w:rsidP="008645DF">
      <w:pPr>
        <w:pStyle w:val="Listepuces"/>
        <w:numPr>
          <w:ilvl w:val="0"/>
          <w:numId w:val="0"/>
        </w:numPr>
        <w:ind w:left="360"/>
        <w:jc w:val="both"/>
        <w:rPr>
          <w:rFonts w:ascii="Arial" w:hAnsi="Arial" w:cs="Arial"/>
          <w:sz w:val="20"/>
          <w:szCs w:val="20"/>
        </w:rPr>
      </w:pPr>
      <w:r>
        <w:rPr>
          <w:rStyle w:val="lev"/>
          <w:rFonts w:ascii="Arial" w:hAnsi="Arial" w:cs="Arial"/>
          <w:sz w:val="20"/>
          <w:szCs w:val="20"/>
        </w:rPr>
        <w:t xml:space="preserve">A noter </w:t>
      </w:r>
      <w:r w:rsidRPr="00982EB4">
        <w:t>:</w:t>
      </w:r>
      <w:r>
        <w:rPr>
          <w:rFonts w:ascii="Arial" w:hAnsi="Arial" w:cs="Arial"/>
          <w:sz w:val="20"/>
          <w:szCs w:val="20"/>
        </w:rPr>
        <w:t xml:space="preserve"> ces fréqences permettent la communication entre les compteurs et le concentrateur qui stocke les données puis les transmet quotidiennement au central Enedis via les ondes de la téléphonie mobile</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Lieux d’exposition : domicile, i</w:t>
      </w:r>
      <w:r w:rsidRPr="00887BA7">
        <w:rPr>
          <w:rFonts w:ascii="Arial" w:hAnsi="Arial" w:cs="Arial"/>
          <w:sz w:val="20"/>
          <w:szCs w:val="20"/>
        </w:rPr>
        <w:t>mmeubles collectifs</w:t>
      </w:r>
    </w:p>
    <w:p w:rsidR="008645DF" w:rsidRPr="00887BA7" w:rsidRDefault="008645DF" w:rsidP="008645DF">
      <w:pPr>
        <w:pStyle w:val="Listepuces"/>
        <w:jc w:val="both"/>
        <w:rPr>
          <w:rFonts w:ascii="Arial" w:hAnsi="Arial" w:cs="Arial"/>
          <w:sz w:val="20"/>
          <w:szCs w:val="20"/>
        </w:rPr>
      </w:pPr>
      <w:r>
        <w:rPr>
          <w:rFonts w:ascii="Arial" w:hAnsi="Arial" w:cs="Arial"/>
          <w:sz w:val="20"/>
          <w:szCs w:val="20"/>
        </w:rPr>
        <w:t xml:space="preserve">Type d’exposition : </w:t>
      </w:r>
      <w:r w:rsidRPr="000C6363">
        <w:rPr>
          <w:rFonts w:ascii="Arial" w:hAnsi="Arial" w:cs="Arial"/>
          <w:sz w:val="20"/>
          <w:szCs w:val="20"/>
        </w:rPr>
        <w:t>ambiante, intermittente (mais un signal intermittent avec un rapport cyclique élevé peut entraîner une exposition “quasi-permanente”)</w:t>
      </w:r>
    </w:p>
    <w:p w:rsidR="008645DF" w:rsidRPr="001F0078" w:rsidRDefault="008645DF" w:rsidP="008645DF">
      <w:pPr>
        <w:pStyle w:val="Titre2"/>
        <w:rPr>
          <w:rFonts w:ascii="Arial" w:hAnsi="Arial" w:cs="Arial"/>
          <w:sz w:val="22"/>
          <w:szCs w:val="22"/>
        </w:rPr>
      </w:pPr>
      <w:r w:rsidRPr="001F0078">
        <w:rPr>
          <w:rFonts w:ascii="Arial" w:hAnsi="Arial" w:cs="Arial"/>
          <w:sz w:val="22"/>
          <w:szCs w:val="22"/>
        </w:rPr>
        <w:t>Babyphone  (radiocommunication domestique)</w:t>
      </w:r>
    </w:p>
    <w:p w:rsidR="008645DF" w:rsidRPr="00887BA7" w:rsidRDefault="008645DF" w:rsidP="009F3BB0">
      <w:pPr>
        <w:pStyle w:val="Listepuces"/>
        <w:numPr>
          <w:ilvl w:val="0"/>
          <w:numId w:val="24"/>
        </w:numPr>
        <w:jc w:val="both"/>
        <w:rPr>
          <w:rFonts w:ascii="Arial" w:hAnsi="Arial" w:cs="Arial"/>
          <w:sz w:val="20"/>
          <w:szCs w:val="20"/>
        </w:rPr>
      </w:pPr>
      <w:r>
        <w:rPr>
          <w:rFonts w:ascii="Arial" w:hAnsi="Arial" w:cs="Arial"/>
          <w:sz w:val="20"/>
          <w:szCs w:val="20"/>
        </w:rPr>
        <w:t>Bandes de frequenc</w:t>
      </w:r>
      <w:r w:rsidRPr="00887BA7">
        <w:rPr>
          <w:rFonts w:ascii="Arial" w:hAnsi="Arial" w:cs="Arial"/>
          <w:sz w:val="20"/>
          <w:szCs w:val="20"/>
        </w:rPr>
        <w:t>es : 865 MHz, 1800 MHz, 1900 MHz, 2.4 GHz</w:t>
      </w:r>
      <w:r>
        <w:rPr>
          <w:rFonts w:ascii="Arial" w:hAnsi="Arial" w:cs="Arial"/>
          <w:sz w:val="20"/>
          <w:szCs w:val="20"/>
        </w:rPr>
        <w:t xml:space="preserve"> (selon les appareils et leur connexion ou non à une application smartphone)</w:t>
      </w:r>
    </w:p>
    <w:p w:rsidR="008645DF" w:rsidRPr="00887BA7" w:rsidRDefault="008645DF" w:rsidP="009F3BB0">
      <w:pPr>
        <w:pStyle w:val="Listepuces"/>
        <w:numPr>
          <w:ilvl w:val="0"/>
          <w:numId w:val="24"/>
        </w:numPr>
        <w:jc w:val="both"/>
        <w:rPr>
          <w:rFonts w:ascii="Arial" w:hAnsi="Arial" w:cs="Arial"/>
          <w:sz w:val="20"/>
          <w:szCs w:val="20"/>
        </w:rPr>
      </w:pPr>
      <w:r w:rsidRPr="00887BA7">
        <w:rPr>
          <w:rFonts w:ascii="Arial" w:hAnsi="Arial" w:cs="Arial"/>
          <w:sz w:val="20"/>
          <w:szCs w:val="20"/>
        </w:rPr>
        <w:t>Lieux d’exposition : domicile (lit du bébé)</w:t>
      </w:r>
    </w:p>
    <w:p w:rsidR="008645DF" w:rsidRPr="00887BA7" w:rsidRDefault="008645DF" w:rsidP="009F3BB0">
      <w:pPr>
        <w:pStyle w:val="Listepuces"/>
        <w:numPr>
          <w:ilvl w:val="0"/>
          <w:numId w:val="24"/>
        </w:numPr>
        <w:jc w:val="both"/>
        <w:rPr>
          <w:rFonts w:ascii="Arial" w:hAnsi="Arial" w:cs="Arial"/>
          <w:sz w:val="20"/>
          <w:szCs w:val="20"/>
        </w:rPr>
      </w:pPr>
      <w:r>
        <w:rPr>
          <w:rFonts w:ascii="Arial" w:hAnsi="Arial" w:cs="Arial"/>
          <w:sz w:val="20"/>
          <w:szCs w:val="20"/>
        </w:rPr>
        <w:t xml:space="preserve">Type d’exposition : </w:t>
      </w:r>
      <w:r w:rsidRPr="00887BA7">
        <w:rPr>
          <w:rFonts w:ascii="Arial" w:hAnsi="Arial" w:cs="Arial"/>
          <w:sz w:val="20"/>
          <w:szCs w:val="20"/>
        </w:rPr>
        <w:t>ambia</w:t>
      </w:r>
      <w:r>
        <w:rPr>
          <w:rFonts w:ascii="Arial" w:hAnsi="Arial" w:cs="Arial"/>
          <w:sz w:val="20"/>
          <w:szCs w:val="20"/>
        </w:rPr>
        <w:t xml:space="preserve">nte dès qu’il est allumé (probable </w:t>
      </w:r>
      <w:r w:rsidRPr="00887BA7">
        <w:rPr>
          <w:rFonts w:ascii="Arial" w:hAnsi="Arial" w:cs="Arial"/>
          <w:sz w:val="20"/>
          <w:szCs w:val="20"/>
        </w:rPr>
        <w:t>proximité directe), intermittent</w:t>
      </w:r>
      <w:r>
        <w:rPr>
          <w:rFonts w:ascii="Arial" w:hAnsi="Arial" w:cs="Arial"/>
          <w:sz w:val="20"/>
          <w:szCs w:val="20"/>
        </w:rPr>
        <w:t>e si par détection de mouvement</w:t>
      </w:r>
    </w:p>
    <w:p w:rsidR="008645DF" w:rsidRDefault="008645DF" w:rsidP="008645DF">
      <w:pPr>
        <w:rPr>
          <w:rFonts w:ascii="Arial" w:eastAsiaTheme="minorEastAsia" w:hAnsi="Arial" w:cs="Arial"/>
          <w:sz w:val="20"/>
          <w:szCs w:val="20"/>
          <w:lang w:val="en-US"/>
        </w:rPr>
      </w:pPr>
      <w:r>
        <w:rPr>
          <w:rFonts w:ascii="Arial" w:hAnsi="Arial" w:cs="Arial"/>
          <w:sz w:val="20"/>
          <w:szCs w:val="20"/>
        </w:rPr>
        <w:br w:type="page"/>
      </w:r>
    </w:p>
    <w:p w:rsidR="008645DF" w:rsidRDefault="008645DF" w:rsidP="009F3BB0">
      <w:pPr>
        <w:pStyle w:val="Paragraphedeliste"/>
        <w:numPr>
          <w:ilvl w:val="0"/>
          <w:numId w:val="20"/>
        </w:numPr>
        <w:spacing w:after="200"/>
        <w:ind w:left="0" w:firstLine="0"/>
        <w:rPr>
          <w:rFonts w:ascii="Arial" w:hAnsi="Arial" w:cs="Arial"/>
          <w:sz w:val="20"/>
          <w:szCs w:val="20"/>
        </w:rPr>
      </w:pPr>
      <w:r w:rsidRPr="0042112C">
        <w:rPr>
          <w:rFonts w:ascii="Arial" w:hAnsi="Arial" w:cs="Arial"/>
          <w:sz w:val="20"/>
          <w:szCs w:val="20"/>
        </w:rPr>
        <w:lastRenderedPageBreak/>
        <w:t xml:space="preserve">Voici deux essais de schéma conceptuel d’exposition aux hyperfréquences conçus avec l’aide du générateur d’images de Chatgpt : bien qu’ayant indiqué toutes les sources d’émission souhaitées ainsi que leurs fréquences et donné de multiples contraintes, ces deux modèles ne sont pas satisfaisants. Les fréquences sont souvent erronées, l’orthographe inexacte, les localisations d’objets incohérentes, mais…il y a de l’idée ! J’ai ainsi tout d’abord souhaité des rats/souris car ce sont ces animaux qui sont de nos jours étudiés en laboratoire dans le cadre d’études </w:t>
      </w:r>
      <w:r w:rsidRPr="0042112C">
        <w:rPr>
          <w:rFonts w:ascii="Arial" w:hAnsi="Arial" w:cs="Arial"/>
          <w:i/>
          <w:sz w:val="20"/>
          <w:szCs w:val="20"/>
        </w:rPr>
        <w:t>in vivo</w:t>
      </w:r>
      <w:r w:rsidRPr="0042112C">
        <w:rPr>
          <w:rFonts w:ascii="Arial" w:hAnsi="Arial" w:cs="Arial"/>
          <w:sz w:val="20"/>
          <w:szCs w:val="20"/>
        </w:rPr>
        <w:t>, mais la plupart du temps de façon intermittente, or nous, humains et tous les organismes vivants, sommes désormais exposés de façon chronique. J’ai donc souhaité illustrer l’exposition de tous, partout. Par ailleurs, une exposition peut être subie ou choisie et, concernant les objets personnels, les émissions des uns font l’exposition de tous. Enfin, l’IA a eu du mal à dessiner des ondes qui traversent les murs, ce qui est pourtant le cas. A noter : ce qui est censé rayonner en hyperfréquences depuis le poteau électrique est un répéteur de data faisant le relais entre les compteurs communicants d’eau et le central du fournisseur d’eau.</w:t>
      </w:r>
    </w:p>
    <w:p w:rsidR="008645DF" w:rsidRPr="0042112C" w:rsidRDefault="008645DF" w:rsidP="008645DF">
      <w:pPr>
        <w:pStyle w:val="Paragraphedeliste"/>
        <w:spacing w:after="200"/>
        <w:ind w:left="0" w:firstLine="0"/>
        <w:rPr>
          <w:rFonts w:ascii="Arial" w:hAnsi="Arial" w:cs="Arial"/>
          <w:sz w:val="20"/>
          <w:szCs w:val="20"/>
        </w:rPr>
      </w:pPr>
    </w:p>
    <w:p w:rsidR="008645DF" w:rsidRPr="0042112C" w:rsidRDefault="008645DF" w:rsidP="008645DF">
      <w:pPr>
        <w:pStyle w:val="Paragraphedeliste"/>
        <w:ind w:left="0" w:firstLine="0"/>
        <w:rPr>
          <w:rFonts w:ascii="Arial" w:hAnsi="Arial" w:cs="Arial"/>
          <w:sz w:val="20"/>
          <w:szCs w:val="20"/>
        </w:rPr>
      </w:pPr>
      <w:r w:rsidRPr="0042112C">
        <w:rPr>
          <w:rFonts w:ascii="Arial" w:hAnsi="Arial" w:cs="Arial"/>
          <w:sz w:val="20"/>
          <w:szCs w:val="20"/>
        </w:rPr>
        <w:t>Image 1 :</w:t>
      </w:r>
    </w:p>
    <w:p w:rsidR="008645DF" w:rsidRDefault="008645DF" w:rsidP="008645DF">
      <w:pPr>
        <w:pStyle w:val="Paragraphedeliste"/>
        <w:spacing w:after="240"/>
        <w:ind w:left="0" w:firstLine="0"/>
        <w:jc w:val="center"/>
      </w:pPr>
      <w:r>
        <w:rPr>
          <w:noProof/>
          <w:lang w:eastAsia="fr-FR"/>
        </w:rPr>
        <w:drawing>
          <wp:inline distT="0" distB="0" distL="0" distR="0">
            <wp:extent cx="5229225" cy="3470232"/>
            <wp:effectExtent l="19050" t="0" r="9525" b="0"/>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240582" cy="3477769"/>
                    </a:xfrm>
                    <a:prstGeom prst="rect">
                      <a:avLst/>
                    </a:prstGeom>
                    <a:noFill/>
                    <a:ln w="9525">
                      <a:noFill/>
                      <a:miter lim="800000"/>
                      <a:headEnd/>
                      <a:tailEnd/>
                    </a:ln>
                  </pic:spPr>
                </pic:pic>
              </a:graphicData>
            </a:graphic>
          </wp:inline>
        </w:drawing>
      </w:r>
    </w:p>
    <w:p w:rsidR="008645DF" w:rsidRDefault="008645DF" w:rsidP="008645DF">
      <w:pPr>
        <w:pStyle w:val="Paragraphedeliste"/>
        <w:ind w:hanging="720"/>
      </w:pPr>
      <w:r>
        <w:t>Image 2 :</w:t>
      </w:r>
    </w:p>
    <w:p w:rsidR="008645DF" w:rsidRDefault="008645DF" w:rsidP="008645DF">
      <w:pPr>
        <w:pStyle w:val="Paragraphedeliste"/>
        <w:ind w:hanging="720"/>
        <w:jc w:val="center"/>
      </w:pPr>
      <w:r>
        <w:rPr>
          <w:noProof/>
          <w:lang w:eastAsia="fr-FR"/>
        </w:rPr>
        <w:drawing>
          <wp:inline distT="0" distB="0" distL="0" distR="0">
            <wp:extent cx="5191868" cy="3420810"/>
            <wp:effectExtent l="19050" t="0" r="8782" b="0"/>
            <wp:docPr id="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5191868" cy="3420810"/>
                    </a:xfrm>
                    <a:prstGeom prst="rect">
                      <a:avLst/>
                    </a:prstGeom>
                    <a:noFill/>
                    <a:ln w="9525">
                      <a:noFill/>
                      <a:miter lim="800000"/>
                      <a:headEnd/>
                      <a:tailEnd/>
                    </a:ln>
                  </pic:spPr>
                </pic:pic>
              </a:graphicData>
            </a:graphic>
          </wp:inline>
        </w:drawing>
      </w:r>
    </w:p>
    <w:p w:rsidR="008645DF" w:rsidRPr="00BA770E" w:rsidRDefault="008645DF" w:rsidP="009F3BB0">
      <w:pPr>
        <w:pStyle w:val="Paragraphedeliste"/>
        <w:numPr>
          <w:ilvl w:val="0"/>
          <w:numId w:val="20"/>
        </w:numPr>
        <w:spacing w:after="200" w:line="276" w:lineRule="auto"/>
      </w:pPr>
      <w:r w:rsidRPr="00BA770E">
        <w:rPr>
          <w:rFonts w:ascii="Arial" w:hAnsi="Arial" w:cs="Arial"/>
          <w:sz w:val="20"/>
          <w:szCs w:val="20"/>
        </w:rPr>
        <w:lastRenderedPageBreak/>
        <w:t xml:space="preserve">Il existe de nombreuses représentations visuelles des expositions liées aux technologies sans fil. </w:t>
      </w:r>
    </w:p>
    <w:p w:rsidR="008645DF" w:rsidRDefault="008645DF" w:rsidP="008645DF">
      <w:pPr>
        <w:pStyle w:val="Paragraphedeliste"/>
        <w:rPr>
          <w:rFonts w:ascii="Arial" w:hAnsi="Arial" w:cs="Arial"/>
          <w:sz w:val="20"/>
          <w:szCs w:val="20"/>
        </w:rPr>
      </w:pPr>
      <w:r>
        <w:rPr>
          <w:rFonts w:ascii="Arial" w:hAnsi="Arial" w:cs="Arial"/>
          <w:sz w:val="20"/>
          <w:szCs w:val="20"/>
        </w:rPr>
        <w:t>Ainsi, par exemple,</w:t>
      </w:r>
    </w:p>
    <w:p w:rsidR="008645DF" w:rsidRDefault="008645DF" w:rsidP="008645DF">
      <w:pPr>
        <w:pStyle w:val="Paragraphedeliste"/>
        <w:rPr>
          <w:rFonts w:ascii="Arial" w:hAnsi="Arial" w:cs="Arial"/>
          <w:sz w:val="20"/>
          <w:szCs w:val="20"/>
        </w:rPr>
      </w:pPr>
    </w:p>
    <w:p w:rsidR="008645DF" w:rsidRPr="00BA770E" w:rsidRDefault="008645DF" w:rsidP="009F3BB0">
      <w:pPr>
        <w:pStyle w:val="Paragraphedeliste"/>
        <w:numPr>
          <w:ilvl w:val="0"/>
          <w:numId w:val="25"/>
        </w:numPr>
        <w:spacing w:after="200" w:line="276" w:lineRule="auto"/>
        <w:jc w:val="left"/>
        <w:rPr>
          <w:rFonts w:ascii="Arial" w:hAnsi="Arial" w:cs="Arial"/>
          <w:sz w:val="20"/>
          <w:szCs w:val="20"/>
        </w:rPr>
      </w:pPr>
      <w:r>
        <w:rPr>
          <w:rFonts w:ascii="Arial" w:hAnsi="Arial" w:cs="Arial"/>
          <w:sz w:val="20"/>
          <w:szCs w:val="20"/>
        </w:rPr>
        <w:t xml:space="preserve">Pour </w:t>
      </w:r>
      <w:r w:rsidRPr="00F84BE2">
        <w:rPr>
          <w:rFonts w:ascii="Arial" w:hAnsi="Arial" w:cs="Arial"/>
          <w:sz w:val="20"/>
          <w:szCs w:val="20"/>
          <w:u w:val="single"/>
        </w:rPr>
        <w:t>l’exposition en extérieur</w:t>
      </w:r>
      <w:r>
        <w:rPr>
          <w:rFonts w:ascii="Arial" w:hAnsi="Arial" w:cs="Arial"/>
          <w:sz w:val="20"/>
          <w:szCs w:val="20"/>
        </w:rPr>
        <w:t> :</w:t>
      </w:r>
    </w:p>
    <w:p w:rsidR="008645DF" w:rsidRDefault="008645DF" w:rsidP="008645DF">
      <w:pPr>
        <w:pStyle w:val="Paragraphedeliste"/>
        <w:rPr>
          <w:rFonts w:ascii="Arial" w:hAnsi="Arial" w:cs="Arial"/>
          <w:sz w:val="20"/>
          <w:szCs w:val="20"/>
        </w:rPr>
      </w:pPr>
      <w:r w:rsidRPr="005935A4">
        <w:rPr>
          <w:noProof/>
          <w:lang w:eastAsia="fr-FR"/>
        </w:rPr>
        <w:drawing>
          <wp:inline distT="0" distB="0" distL="0" distR="0">
            <wp:extent cx="5822046" cy="2357862"/>
            <wp:effectExtent l="19050" t="0" r="7254" b="0"/>
            <wp:docPr id="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5821935" cy="2357817"/>
                    </a:xfrm>
                    <a:prstGeom prst="rect">
                      <a:avLst/>
                    </a:prstGeom>
                    <a:noFill/>
                    <a:ln w="9525">
                      <a:noFill/>
                      <a:miter lim="800000"/>
                      <a:headEnd/>
                      <a:tailEnd/>
                    </a:ln>
                  </pic:spPr>
                </pic:pic>
              </a:graphicData>
            </a:graphic>
          </wp:inline>
        </w:drawing>
      </w:r>
      <w:r w:rsidRPr="00BA770E">
        <w:rPr>
          <w:rFonts w:ascii="Arial" w:hAnsi="Arial" w:cs="Arial"/>
          <w:sz w:val="20"/>
          <w:szCs w:val="20"/>
        </w:rPr>
        <w:t>source</w:t>
      </w:r>
      <w:r>
        <w:rPr>
          <w:rFonts w:ascii="Arial" w:hAnsi="Arial" w:cs="Arial"/>
          <w:sz w:val="20"/>
          <w:szCs w:val="20"/>
        </w:rPr>
        <w:t xml:space="preserve"> : </w:t>
      </w:r>
      <w:hyperlink r:id="rId17" w:history="1">
        <w:r>
          <w:rPr>
            <w:rStyle w:val="Lienhypertexte"/>
          </w:rPr>
          <w:t>CWNA Chapter 7: Great Wireless In All the Areas - Techimike</w:t>
        </w:r>
      </w:hyperlink>
    </w:p>
    <w:p w:rsidR="008645DF" w:rsidRPr="00BA770E" w:rsidRDefault="008645DF" w:rsidP="008645DF">
      <w:pPr>
        <w:pStyle w:val="Paragraphedeliste"/>
        <w:rPr>
          <w:rFonts w:ascii="Arial" w:hAnsi="Arial" w:cs="Arial"/>
          <w:sz w:val="20"/>
          <w:szCs w:val="20"/>
        </w:rPr>
      </w:pPr>
    </w:p>
    <w:p w:rsidR="008645DF" w:rsidRDefault="008645DF" w:rsidP="008645DF">
      <w:pPr>
        <w:pStyle w:val="Paragraphedeliste"/>
        <w:rPr>
          <w:rFonts w:ascii="Arial" w:hAnsi="Arial" w:cs="Arial"/>
          <w:sz w:val="20"/>
          <w:szCs w:val="20"/>
        </w:rPr>
      </w:pPr>
    </w:p>
    <w:p w:rsidR="008645DF" w:rsidRDefault="008645DF" w:rsidP="009F3BB0">
      <w:pPr>
        <w:pStyle w:val="Paragraphedeliste"/>
        <w:numPr>
          <w:ilvl w:val="0"/>
          <w:numId w:val="25"/>
        </w:numPr>
        <w:spacing w:after="200" w:line="276" w:lineRule="auto"/>
        <w:rPr>
          <w:rFonts w:ascii="Arial" w:hAnsi="Arial" w:cs="Arial"/>
          <w:sz w:val="20"/>
          <w:szCs w:val="20"/>
        </w:rPr>
      </w:pPr>
      <w:r>
        <w:rPr>
          <w:rFonts w:ascii="Arial" w:hAnsi="Arial" w:cs="Arial"/>
          <w:sz w:val="20"/>
          <w:szCs w:val="20"/>
        </w:rPr>
        <w:t>Pour l’</w:t>
      </w:r>
      <w:r w:rsidRPr="00F84BE2">
        <w:rPr>
          <w:rFonts w:ascii="Arial" w:hAnsi="Arial" w:cs="Arial"/>
          <w:sz w:val="20"/>
          <w:szCs w:val="20"/>
          <w:u w:val="single"/>
        </w:rPr>
        <w:t>exposition sur un poste de travail</w:t>
      </w:r>
      <w:r>
        <w:rPr>
          <w:rFonts w:ascii="Arial" w:hAnsi="Arial" w:cs="Arial"/>
          <w:sz w:val="20"/>
          <w:szCs w:val="20"/>
        </w:rPr>
        <w:t xml:space="preserve"> : </w:t>
      </w:r>
    </w:p>
    <w:p w:rsidR="008645DF" w:rsidRDefault="008645DF" w:rsidP="008645DF">
      <w:pPr>
        <w:pStyle w:val="Paragraphedeliste"/>
        <w:ind w:left="1080"/>
        <w:rPr>
          <w:rFonts w:ascii="Arial" w:hAnsi="Arial" w:cs="Arial"/>
          <w:sz w:val="20"/>
          <w:szCs w:val="20"/>
        </w:rPr>
      </w:pPr>
    </w:p>
    <w:p w:rsidR="008645DF" w:rsidRDefault="008645DF" w:rsidP="008645DF">
      <w:pPr>
        <w:pStyle w:val="Paragraphedeliste"/>
        <w:ind w:left="709"/>
        <w:rPr>
          <w:rFonts w:ascii="Arial" w:hAnsi="Arial" w:cs="Arial"/>
          <w:sz w:val="20"/>
          <w:szCs w:val="20"/>
        </w:rPr>
      </w:pPr>
      <w:r>
        <w:rPr>
          <w:rFonts w:ascii="Arial" w:hAnsi="Arial" w:cs="Arial"/>
          <w:sz w:val="20"/>
          <w:szCs w:val="20"/>
        </w:rPr>
        <w:t>cette figure comporte une légende indiquant une puissance nominale faible. « Faible », « fort », sont</w:t>
      </w:r>
    </w:p>
    <w:p w:rsidR="008645DF" w:rsidRDefault="008645DF" w:rsidP="008645DF">
      <w:pPr>
        <w:pStyle w:val="Paragraphedeliste"/>
        <w:ind w:left="709"/>
        <w:rPr>
          <w:rFonts w:ascii="Arial" w:hAnsi="Arial" w:cs="Arial"/>
          <w:sz w:val="20"/>
          <w:szCs w:val="20"/>
        </w:rPr>
      </w:pPr>
      <w:r w:rsidRPr="00F84BE2">
        <w:rPr>
          <w:rFonts w:ascii="Arial" w:hAnsi="Arial" w:cs="Arial"/>
          <w:sz w:val="20"/>
          <w:szCs w:val="20"/>
        </w:rPr>
        <w:t>des qualificatifs relatifs, nous reviendrons plus loin sur ce que dit la sc</w:t>
      </w:r>
      <w:r>
        <w:rPr>
          <w:rFonts w:ascii="Arial" w:hAnsi="Arial" w:cs="Arial"/>
          <w:sz w:val="20"/>
          <w:szCs w:val="20"/>
        </w:rPr>
        <w:t>ience et ce que sont les seuils</w:t>
      </w:r>
    </w:p>
    <w:p w:rsidR="008645DF" w:rsidRDefault="008645DF" w:rsidP="008645DF">
      <w:pPr>
        <w:pStyle w:val="Paragraphedeliste"/>
        <w:ind w:left="709"/>
        <w:rPr>
          <w:rFonts w:ascii="Arial" w:hAnsi="Arial" w:cs="Arial"/>
          <w:sz w:val="20"/>
          <w:szCs w:val="20"/>
        </w:rPr>
      </w:pPr>
      <w:r w:rsidRPr="00F84BE2">
        <w:rPr>
          <w:rFonts w:ascii="Arial" w:hAnsi="Arial" w:cs="Arial"/>
          <w:sz w:val="20"/>
          <w:szCs w:val="20"/>
        </w:rPr>
        <w:t>réglementaires, en France et à l’étranger.</w:t>
      </w:r>
    </w:p>
    <w:p w:rsidR="008645DF" w:rsidRPr="00F84BE2" w:rsidRDefault="008645DF" w:rsidP="008645DF">
      <w:pPr>
        <w:pStyle w:val="Paragraphedeliste"/>
        <w:ind w:left="709" w:hanging="283"/>
        <w:rPr>
          <w:rFonts w:ascii="Arial" w:hAnsi="Arial" w:cs="Arial"/>
          <w:sz w:val="20"/>
          <w:szCs w:val="20"/>
        </w:rPr>
      </w:pPr>
    </w:p>
    <w:p w:rsidR="008645DF" w:rsidRPr="00BA770E" w:rsidRDefault="008645DF" w:rsidP="008645DF">
      <w:pPr>
        <w:pStyle w:val="Paragraphedeliste"/>
        <w:rPr>
          <w:rFonts w:ascii="Arial" w:hAnsi="Arial" w:cs="Arial"/>
          <w:sz w:val="20"/>
          <w:szCs w:val="20"/>
        </w:rPr>
      </w:pPr>
      <w:r w:rsidRPr="005935A4">
        <w:rPr>
          <w:noProof/>
          <w:lang w:eastAsia="fr-FR"/>
        </w:rPr>
        <w:drawing>
          <wp:inline distT="0" distB="0" distL="0" distR="0">
            <wp:extent cx="5802190" cy="2324625"/>
            <wp:effectExtent l="19050" t="0" r="8060" b="0"/>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5800749" cy="2324048"/>
                    </a:xfrm>
                    <a:prstGeom prst="rect">
                      <a:avLst/>
                    </a:prstGeom>
                    <a:noFill/>
                    <a:ln w="9525">
                      <a:noFill/>
                      <a:miter lim="800000"/>
                      <a:headEnd/>
                      <a:tailEnd/>
                    </a:ln>
                  </pic:spPr>
                </pic:pic>
              </a:graphicData>
            </a:graphic>
          </wp:inline>
        </w:drawing>
      </w:r>
      <w:r w:rsidRPr="00BA770E">
        <w:rPr>
          <w:rFonts w:ascii="Arial" w:hAnsi="Arial" w:cs="Arial"/>
          <w:sz w:val="20"/>
          <w:szCs w:val="20"/>
        </w:rPr>
        <w:t>source</w:t>
      </w:r>
      <w:r>
        <w:rPr>
          <w:rFonts w:ascii="Arial" w:hAnsi="Arial" w:cs="Arial"/>
          <w:sz w:val="20"/>
          <w:szCs w:val="20"/>
        </w:rPr>
        <w:t> : thèse d’Isabelle Lagroye (</w:t>
      </w:r>
      <w:hyperlink r:id="rId19" w:history="1">
        <w:r w:rsidRPr="00755E61">
          <w:rPr>
            <w:rStyle w:val="Lienhypertexte"/>
          </w:rPr>
          <w:t>https://theses.hal.science/tel-00977980/document</w:t>
        </w:r>
      </w:hyperlink>
      <w:r>
        <w:t xml:space="preserve"> )</w:t>
      </w:r>
    </w:p>
    <w:p w:rsidR="008645DF" w:rsidRDefault="008645DF" w:rsidP="008645DF">
      <w:pPr>
        <w:pStyle w:val="Paragraphedeliste"/>
        <w:rPr>
          <w:rFonts w:ascii="Arial" w:hAnsi="Arial" w:cs="Arial"/>
          <w:sz w:val="20"/>
          <w:szCs w:val="20"/>
        </w:rPr>
      </w:pPr>
    </w:p>
    <w:p w:rsidR="008645DF" w:rsidRDefault="008645DF" w:rsidP="008645DF">
      <w:pPr>
        <w:pStyle w:val="Paragraphedeliste"/>
        <w:rPr>
          <w:rFonts w:ascii="Arial" w:hAnsi="Arial" w:cs="Arial"/>
          <w:sz w:val="20"/>
          <w:szCs w:val="20"/>
        </w:rPr>
      </w:pPr>
    </w:p>
    <w:p w:rsidR="008645DF" w:rsidRDefault="008645DF" w:rsidP="009F3BB0">
      <w:pPr>
        <w:pStyle w:val="Paragraphedeliste"/>
        <w:numPr>
          <w:ilvl w:val="0"/>
          <w:numId w:val="25"/>
        </w:numPr>
        <w:spacing w:after="200" w:line="276" w:lineRule="auto"/>
        <w:rPr>
          <w:rFonts w:ascii="Arial" w:hAnsi="Arial" w:cs="Arial"/>
          <w:sz w:val="20"/>
          <w:szCs w:val="20"/>
        </w:rPr>
      </w:pPr>
      <w:r>
        <w:rPr>
          <w:rFonts w:ascii="Arial" w:hAnsi="Arial" w:cs="Arial"/>
          <w:sz w:val="20"/>
          <w:szCs w:val="20"/>
        </w:rPr>
        <w:t xml:space="preserve">Au domicile : </w:t>
      </w:r>
    </w:p>
    <w:p w:rsidR="008645DF" w:rsidRPr="00BA770E" w:rsidRDefault="008645DF" w:rsidP="008645DF">
      <w:pPr>
        <w:ind w:left="0" w:firstLine="0"/>
        <w:rPr>
          <w:rFonts w:ascii="Arial" w:hAnsi="Arial" w:cs="Arial"/>
          <w:sz w:val="20"/>
          <w:szCs w:val="20"/>
        </w:rPr>
      </w:pPr>
      <w:r w:rsidRPr="00F84BE2">
        <w:rPr>
          <w:rFonts w:ascii="Arial" w:hAnsi="Arial" w:cs="Arial"/>
          <w:sz w:val="20"/>
          <w:szCs w:val="20"/>
        </w:rPr>
        <w:t>ce visuel montre une diversité d’usages mais ne présente pas les expositions dues à l’environnement. Il mélange par ailleurs ondes de la radio (qui ne sont pas des hyperfréquences), ondes acoustiques des enceintes, ondes des lampes fluocompactes (de 100 Hz à 20 KHz selon les modèles) et hyperfréquences (box, ordinateur portable, tablette, téléphone DECT). L’illustrateur a par ailleurs omis les ondes du téléphone portable au niveau des testicules (or nous le verrons plus loin,  c’est loin d’être anodin).</w:t>
      </w:r>
    </w:p>
    <w:p w:rsidR="008645DF" w:rsidRDefault="008645DF" w:rsidP="008645DF">
      <w:pPr>
        <w:pStyle w:val="Paragraphedeliste"/>
        <w:ind w:left="567"/>
        <w:jc w:val="center"/>
        <w:rPr>
          <w:rFonts w:ascii="Arial" w:hAnsi="Arial" w:cs="Arial"/>
          <w:sz w:val="20"/>
          <w:szCs w:val="20"/>
        </w:rPr>
      </w:pPr>
      <w:r w:rsidRPr="005935A4">
        <w:rPr>
          <w:noProof/>
          <w:lang w:eastAsia="fr-FR"/>
        </w:rPr>
        <w:lastRenderedPageBreak/>
        <w:drawing>
          <wp:inline distT="0" distB="0" distL="0" distR="0">
            <wp:extent cx="5949218" cy="2994904"/>
            <wp:effectExtent l="19050" t="0" r="0" b="0"/>
            <wp:docPr id="1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956514" cy="2998577"/>
                    </a:xfrm>
                    <a:prstGeom prst="rect">
                      <a:avLst/>
                    </a:prstGeom>
                    <a:noFill/>
                    <a:ln w="9525">
                      <a:noFill/>
                      <a:miter lim="800000"/>
                      <a:headEnd/>
                      <a:tailEnd/>
                    </a:ln>
                  </pic:spPr>
                </pic:pic>
              </a:graphicData>
            </a:graphic>
          </wp:inline>
        </w:drawing>
      </w:r>
    </w:p>
    <w:p w:rsidR="008645DF" w:rsidRDefault="008645DF" w:rsidP="008645DF">
      <w:pPr>
        <w:pStyle w:val="Paragraphedeliste"/>
        <w:ind w:left="567"/>
        <w:jc w:val="center"/>
        <w:rPr>
          <w:rFonts w:ascii="Arial" w:hAnsi="Arial" w:cs="Arial"/>
          <w:sz w:val="20"/>
          <w:szCs w:val="20"/>
        </w:rPr>
      </w:pPr>
    </w:p>
    <w:p w:rsidR="008645DF" w:rsidRDefault="008645DF" w:rsidP="008645DF">
      <w:pPr>
        <w:pStyle w:val="Paragraphedeliste"/>
        <w:rPr>
          <w:rFonts w:ascii="Arial" w:hAnsi="Arial" w:cs="Arial"/>
          <w:sz w:val="20"/>
          <w:szCs w:val="20"/>
        </w:rPr>
      </w:pPr>
      <w:r w:rsidRPr="00BA770E">
        <w:rPr>
          <w:rFonts w:ascii="Arial" w:hAnsi="Arial" w:cs="Arial"/>
          <w:sz w:val="20"/>
          <w:szCs w:val="20"/>
        </w:rPr>
        <w:t>Source</w:t>
      </w:r>
      <w:r>
        <w:rPr>
          <w:rFonts w:ascii="Arial" w:hAnsi="Arial" w:cs="Arial"/>
          <w:sz w:val="20"/>
          <w:szCs w:val="20"/>
        </w:rPr>
        <w:t> : Ineris (Institut national de l’environnement industriel et des risques)</w:t>
      </w:r>
      <w:r w:rsidRPr="005935A4">
        <w:rPr>
          <w:rStyle w:val="Appelnotedebasdep"/>
          <w:rFonts w:ascii="Arial" w:hAnsi="Arial" w:cs="Arial"/>
        </w:rPr>
        <w:footnoteReference w:id="109"/>
      </w:r>
    </w:p>
    <w:p w:rsidR="008645DF" w:rsidRPr="00BA770E" w:rsidRDefault="008645DF" w:rsidP="008645DF">
      <w:pPr>
        <w:pStyle w:val="Paragraphedeliste"/>
        <w:rPr>
          <w:rFonts w:ascii="Arial" w:hAnsi="Arial" w:cs="Arial"/>
          <w:sz w:val="20"/>
          <w:szCs w:val="20"/>
        </w:rPr>
      </w:pPr>
    </w:p>
    <w:p w:rsidR="008645DF" w:rsidRDefault="008645DF" w:rsidP="008645DF">
      <w:pPr>
        <w:pStyle w:val="Paragraphedeliste"/>
        <w:rPr>
          <w:rFonts w:ascii="Arial" w:hAnsi="Arial" w:cs="Arial"/>
          <w:sz w:val="20"/>
          <w:szCs w:val="20"/>
        </w:rPr>
      </w:pPr>
    </w:p>
    <w:p w:rsidR="008645DF" w:rsidRDefault="008645DF" w:rsidP="009F3BB0">
      <w:pPr>
        <w:pStyle w:val="Paragraphedeliste"/>
        <w:numPr>
          <w:ilvl w:val="0"/>
          <w:numId w:val="25"/>
        </w:numPr>
        <w:spacing w:after="200" w:line="276" w:lineRule="auto"/>
        <w:jc w:val="left"/>
        <w:rPr>
          <w:rFonts w:ascii="Arial" w:hAnsi="Arial" w:cs="Arial"/>
          <w:sz w:val="20"/>
          <w:szCs w:val="20"/>
        </w:rPr>
      </w:pPr>
      <w:r>
        <w:rPr>
          <w:rFonts w:ascii="Arial" w:hAnsi="Arial" w:cs="Arial"/>
          <w:sz w:val="20"/>
          <w:szCs w:val="20"/>
        </w:rPr>
        <w:t xml:space="preserve">Dernier exemple, </w:t>
      </w:r>
    </w:p>
    <w:p w:rsidR="008645DF" w:rsidRPr="00F84BE2" w:rsidRDefault="008645DF" w:rsidP="008645DF">
      <w:pPr>
        <w:ind w:left="0" w:firstLine="0"/>
        <w:rPr>
          <w:rFonts w:ascii="Arial" w:hAnsi="Arial" w:cs="Arial"/>
          <w:sz w:val="20"/>
          <w:szCs w:val="20"/>
        </w:rPr>
      </w:pPr>
      <w:r w:rsidRPr="00F84BE2">
        <w:rPr>
          <w:rFonts w:ascii="Arial" w:hAnsi="Arial" w:cs="Arial"/>
          <w:sz w:val="20"/>
          <w:szCs w:val="20"/>
        </w:rPr>
        <w:t>cette représentation émanant de l’UIT-R (ITU-R en anglais, Union internationale des télécommunications, organisme en charge de la gestion du spectre des ondes radio au niveau mondial) nous semble plus complète et à même d’exprimer la complexité et la multiplicité de l’exposition électromagnétique du monde actuel :</w:t>
      </w:r>
    </w:p>
    <w:p w:rsidR="008645DF" w:rsidRDefault="008645DF" w:rsidP="008645DF">
      <w:pPr>
        <w:pStyle w:val="Paragraphedeliste"/>
        <w:ind w:left="1080"/>
        <w:rPr>
          <w:rFonts w:ascii="Arial" w:hAnsi="Arial" w:cs="Arial"/>
          <w:sz w:val="20"/>
          <w:szCs w:val="20"/>
        </w:rPr>
      </w:pPr>
    </w:p>
    <w:p w:rsidR="008645DF" w:rsidRPr="00F40554" w:rsidRDefault="008645DF" w:rsidP="009F3BB0">
      <w:pPr>
        <w:pStyle w:val="Paragraphedeliste"/>
        <w:numPr>
          <w:ilvl w:val="0"/>
          <w:numId w:val="25"/>
        </w:numPr>
        <w:spacing w:after="200" w:line="276" w:lineRule="auto"/>
        <w:ind w:left="0" w:hanging="284"/>
        <w:jc w:val="center"/>
        <w:rPr>
          <w:rFonts w:ascii="Arial" w:hAnsi="Arial" w:cs="Arial"/>
          <w:sz w:val="20"/>
          <w:szCs w:val="20"/>
        </w:rPr>
      </w:pPr>
      <w:r w:rsidRPr="005935A4">
        <w:rPr>
          <w:noProof/>
          <w:lang w:eastAsia="fr-FR"/>
        </w:rPr>
        <w:drawing>
          <wp:inline distT="0" distB="0" distL="0" distR="0">
            <wp:extent cx="6248400" cy="3339179"/>
            <wp:effectExtent l="19050" t="0" r="0" b="0"/>
            <wp:docPr id="1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6248400" cy="3339179"/>
                    </a:xfrm>
                    <a:prstGeom prst="rect">
                      <a:avLst/>
                    </a:prstGeom>
                    <a:noFill/>
                    <a:ln w="9525">
                      <a:noFill/>
                      <a:miter lim="800000"/>
                      <a:headEnd/>
                      <a:tailEnd/>
                    </a:ln>
                  </pic:spPr>
                </pic:pic>
              </a:graphicData>
            </a:graphic>
          </wp:inline>
        </w:drawing>
      </w:r>
    </w:p>
    <w:p w:rsidR="008645DF" w:rsidRDefault="008645DF" w:rsidP="008645DF">
      <w:pPr>
        <w:rPr>
          <w:rFonts w:ascii="Arial" w:hAnsi="Arial" w:cs="Arial"/>
          <w:sz w:val="20"/>
          <w:szCs w:val="20"/>
        </w:rPr>
      </w:pPr>
      <w:r w:rsidRPr="00951A70">
        <w:rPr>
          <w:rFonts w:ascii="Arial" w:hAnsi="Arial" w:cs="Arial"/>
          <w:sz w:val="20"/>
          <w:szCs w:val="20"/>
        </w:rPr>
        <w:t>Source : UIT-R (</w:t>
      </w:r>
      <w:hyperlink r:id="rId22" w:history="1">
        <w:r w:rsidRPr="00951A70">
          <w:rPr>
            <w:rStyle w:val="Lienhypertexte"/>
            <w:rFonts w:ascii="Arial" w:hAnsi="Arial" w:cs="Arial"/>
            <w:sz w:val="20"/>
            <w:szCs w:val="20"/>
          </w:rPr>
          <w:t>Bienvenue à l'UIT-R</w:t>
        </w:r>
      </w:hyperlink>
      <w:r>
        <w:rPr>
          <w:rFonts w:ascii="Arial" w:hAnsi="Arial" w:cs="Arial"/>
          <w:sz w:val="20"/>
          <w:szCs w:val="20"/>
        </w:rPr>
        <w:t>)</w:t>
      </w:r>
    </w:p>
    <w:p w:rsidR="008645DF" w:rsidRDefault="008645DF" w:rsidP="008645DF">
      <w:pPr>
        <w:rPr>
          <w:rFonts w:ascii="Arial" w:hAnsi="Arial" w:cs="Arial"/>
          <w:sz w:val="20"/>
          <w:szCs w:val="20"/>
        </w:rPr>
      </w:pPr>
    </w:p>
    <w:p w:rsidR="008645DF" w:rsidRPr="00F84BE2" w:rsidRDefault="008645DF" w:rsidP="009F3BB0">
      <w:pPr>
        <w:pStyle w:val="Paragraphedeliste"/>
        <w:numPr>
          <w:ilvl w:val="0"/>
          <w:numId w:val="20"/>
        </w:numPr>
        <w:spacing w:after="200"/>
        <w:ind w:left="0" w:firstLine="0"/>
        <w:rPr>
          <w:rFonts w:ascii="Arial" w:hAnsi="Arial" w:cs="Arial"/>
          <w:sz w:val="20"/>
          <w:szCs w:val="20"/>
        </w:rPr>
      </w:pPr>
      <w:r w:rsidRPr="00F84BE2">
        <w:rPr>
          <w:rFonts w:ascii="Arial" w:hAnsi="Arial" w:cs="Arial"/>
          <w:sz w:val="20"/>
          <w:szCs w:val="20"/>
        </w:rPr>
        <w:lastRenderedPageBreak/>
        <w:t xml:space="preserve">Données extraites de </w:t>
      </w:r>
      <w:hyperlink r:id="rId23" w:history="1">
        <w:r w:rsidRPr="00F84BE2">
          <w:rPr>
            <w:rStyle w:val="Lienhypertexte"/>
            <w:rFonts w:ascii="Arial" w:hAnsi="Arial" w:cs="Arial"/>
            <w:sz w:val="20"/>
            <w:szCs w:val="20"/>
          </w:rPr>
          <w:t>www.cartoradio.fr</w:t>
        </w:r>
      </w:hyperlink>
      <w:r w:rsidRPr="00F84BE2">
        <w:rPr>
          <w:rFonts w:ascii="Arial" w:hAnsi="Arial" w:cs="Arial"/>
          <w:sz w:val="20"/>
          <w:szCs w:val="20"/>
        </w:rPr>
        <w:t> (site d’information proposé par l’ANFR, il permet de localiser les antennes-relais de téléphonie mobile, de connaître leurs caractéristiques et de visualiser les niveaux d’exposition mesurés) :</w:t>
      </w:r>
    </w:p>
    <w:p w:rsidR="008645DF" w:rsidRDefault="008645DF" w:rsidP="008645DF">
      <w:pPr>
        <w:rPr>
          <w:rFonts w:ascii="Arial" w:hAnsi="Arial" w:cs="Arial"/>
          <w:sz w:val="20"/>
          <w:szCs w:val="20"/>
        </w:rPr>
      </w:pPr>
      <w:r>
        <w:rPr>
          <w:rFonts w:ascii="Arial" w:hAnsi="Arial" w:cs="Arial"/>
          <w:sz w:val="20"/>
          <w:szCs w:val="20"/>
        </w:rPr>
        <w:t xml:space="preserve">. </w:t>
      </w:r>
      <w:r w:rsidRPr="00F84BE2">
        <w:rPr>
          <w:rFonts w:ascii="Arial" w:hAnsi="Arial" w:cs="Arial"/>
          <w:sz w:val="20"/>
          <w:szCs w:val="20"/>
        </w:rPr>
        <w:t xml:space="preserve">Une vue d’un coin de Paris le 27/04/2025 : </w:t>
      </w:r>
    </w:p>
    <w:p w:rsidR="008645DF" w:rsidRPr="00F84BE2" w:rsidRDefault="008645DF" w:rsidP="008645DF">
      <w:pPr>
        <w:rPr>
          <w:rFonts w:ascii="Arial" w:hAnsi="Arial" w:cs="Arial"/>
          <w:sz w:val="20"/>
          <w:szCs w:val="20"/>
        </w:rPr>
      </w:pPr>
    </w:p>
    <w:p w:rsidR="008645DF" w:rsidRDefault="008645DF" w:rsidP="008645DF">
      <w:pPr>
        <w:jc w:val="center"/>
      </w:pPr>
      <w:r>
        <w:rPr>
          <w:noProof/>
          <w:lang w:eastAsia="fr-FR"/>
        </w:rPr>
        <w:drawing>
          <wp:inline distT="0" distB="0" distL="0" distR="0">
            <wp:extent cx="6169476" cy="2657475"/>
            <wp:effectExtent l="19050" t="0" r="2724" b="0"/>
            <wp:docPr id="2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6169984" cy="2657694"/>
                    </a:xfrm>
                    <a:prstGeom prst="rect">
                      <a:avLst/>
                    </a:prstGeom>
                    <a:noFill/>
                    <a:ln w="9525">
                      <a:noFill/>
                      <a:miter lim="800000"/>
                      <a:headEnd/>
                      <a:tailEnd/>
                    </a:ln>
                  </pic:spPr>
                </pic:pic>
              </a:graphicData>
            </a:graphic>
          </wp:inline>
        </w:drawing>
      </w:r>
    </w:p>
    <w:p w:rsidR="008645DF" w:rsidRDefault="008645DF" w:rsidP="008645DF">
      <w:pPr>
        <w:jc w:val="center"/>
      </w:pPr>
    </w:p>
    <w:p w:rsidR="008645DF" w:rsidRPr="00F84BE2" w:rsidRDefault="008645DF" w:rsidP="008645DF">
      <w:pPr>
        <w:ind w:left="0" w:firstLine="0"/>
        <w:rPr>
          <w:rFonts w:ascii="Arial" w:hAnsi="Arial" w:cs="Arial"/>
          <w:sz w:val="20"/>
          <w:szCs w:val="20"/>
        </w:rPr>
      </w:pPr>
      <w:r w:rsidRPr="00F84BE2">
        <w:rPr>
          <w:rFonts w:ascii="Arial" w:hAnsi="Arial" w:cs="Arial"/>
          <w:sz w:val="20"/>
          <w:szCs w:val="20"/>
        </w:rPr>
        <w:t>Les points bleus représentent les sites d’implantation d’antennes-relais de téléphonie mobile; les nombres dans les points bleus correspondent au nombre d’opérateurs sur le site ; les points roses sont des sites sur</w:t>
      </w:r>
      <w:r>
        <w:rPr>
          <w:rFonts w:ascii="Arial" w:hAnsi="Arial" w:cs="Arial"/>
          <w:sz w:val="20"/>
          <w:szCs w:val="20"/>
        </w:rPr>
        <w:t xml:space="preserve"> lesquels des habitant</w:t>
      </w:r>
      <w:r w:rsidRPr="00F84BE2">
        <w:rPr>
          <w:rFonts w:ascii="Arial" w:hAnsi="Arial" w:cs="Arial"/>
          <w:sz w:val="20"/>
          <w:szCs w:val="20"/>
        </w:rPr>
        <w:t xml:space="preserve">s ou la Mairie ont demandé des mesures d’exposition ; les flèches correspondent à l’orientation principale des faisceaux des cellules antennaires. A noter : de façon arbitraire ces flèches représentent une longueur de 100m mais les ondes électromagnétiques ne s’arrêtent pas à 100m. </w:t>
      </w:r>
    </w:p>
    <w:p w:rsidR="008645DF" w:rsidRDefault="008645DF" w:rsidP="008645DF">
      <w:pPr>
        <w:ind w:left="0" w:firstLine="0"/>
        <w:rPr>
          <w:rFonts w:ascii="Arial" w:hAnsi="Arial" w:cs="Arial"/>
          <w:sz w:val="20"/>
          <w:szCs w:val="20"/>
        </w:rPr>
      </w:pPr>
      <w:r w:rsidRPr="00F84BE2">
        <w:rPr>
          <w:rFonts w:ascii="Arial" w:hAnsi="Arial" w:cs="Arial"/>
          <w:sz w:val="20"/>
          <w:szCs w:val="20"/>
        </w:rPr>
        <w:t>Par ailleurs, les faisceaux ne sont pas unidirectionnels : pour chaque opérateur, chaque site de 2G/3G/4G  dispose de 3 antennes couvrant chacune 120 degrés (pour une couverture à 360 degrés) auxquelles viennent s’ajouter les antennes 5G (également avec 3 azimuts).</w:t>
      </w:r>
    </w:p>
    <w:p w:rsidR="008645DF" w:rsidRDefault="008645DF" w:rsidP="008645DF">
      <w:pPr>
        <w:rPr>
          <w:rFonts w:ascii="Arial" w:hAnsi="Arial" w:cs="Arial"/>
          <w:sz w:val="20"/>
          <w:szCs w:val="20"/>
        </w:rPr>
      </w:pPr>
    </w:p>
    <w:p w:rsidR="008645DF" w:rsidRPr="00F84BE2" w:rsidRDefault="008645DF" w:rsidP="008645DF">
      <w:pPr>
        <w:rPr>
          <w:rFonts w:ascii="Arial" w:hAnsi="Arial" w:cs="Arial"/>
          <w:sz w:val="20"/>
          <w:szCs w:val="20"/>
        </w:rPr>
      </w:pPr>
    </w:p>
    <w:p w:rsidR="008645DF" w:rsidRDefault="008645DF" w:rsidP="008645DF">
      <w:pPr>
        <w:rPr>
          <w:rFonts w:ascii="Arial" w:hAnsi="Arial" w:cs="Arial"/>
          <w:sz w:val="20"/>
          <w:szCs w:val="20"/>
        </w:rPr>
      </w:pPr>
      <w:r>
        <w:rPr>
          <w:rFonts w:ascii="Arial" w:hAnsi="Arial" w:cs="Arial"/>
          <w:sz w:val="20"/>
          <w:szCs w:val="20"/>
        </w:rPr>
        <w:t xml:space="preserve">. </w:t>
      </w:r>
      <w:r w:rsidRPr="00F84BE2">
        <w:rPr>
          <w:rFonts w:ascii="Arial" w:hAnsi="Arial" w:cs="Arial"/>
          <w:sz w:val="20"/>
          <w:szCs w:val="20"/>
        </w:rPr>
        <w:t>Commune de la petite couronne parisienne, banlieue Ouest :</w:t>
      </w:r>
    </w:p>
    <w:p w:rsidR="008645DF" w:rsidRPr="00F84BE2" w:rsidRDefault="008645DF" w:rsidP="008645DF">
      <w:pPr>
        <w:rPr>
          <w:rFonts w:ascii="Arial" w:hAnsi="Arial" w:cs="Arial"/>
          <w:sz w:val="20"/>
          <w:szCs w:val="20"/>
        </w:rPr>
      </w:pPr>
    </w:p>
    <w:p w:rsidR="008645DF" w:rsidRDefault="008645DF" w:rsidP="008645DF">
      <w:r>
        <w:rPr>
          <w:noProof/>
          <w:lang w:eastAsia="fr-FR"/>
        </w:rPr>
        <w:drawing>
          <wp:inline distT="0" distB="0" distL="0" distR="0">
            <wp:extent cx="6029325" cy="2991720"/>
            <wp:effectExtent l="19050" t="0" r="9525" b="0"/>
            <wp:docPr id="2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srcRect/>
                    <a:stretch>
                      <a:fillRect/>
                    </a:stretch>
                  </pic:blipFill>
                  <pic:spPr bwMode="auto">
                    <a:xfrm>
                      <a:off x="0" y="0"/>
                      <a:ext cx="6029325" cy="2991720"/>
                    </a:xfrm>
                    <a:prstGeom prst="rect">
                      <a:avLst/>
                    </a:prstGeom>
                    <a:noFill/>
                    <a:ln w="9525">
                      <a:noFill/>
                      <a:miter lim="800000"/>
                      <a:headEnd/>
                      <a:tailEnd/>
                    </a:ln>
                  </pic:spPr>
                </pic:pic>
              </a:graphicData>
            </a:graphic>
          </wp:inline>
        </w:drawing>
      </w:r>
    </w:p>
    <w:p w:rsidR="008645DF" w:rsidRDefault="008645DF" w:rsidP="008645DF"/>
    <w:p w:rsidR="008645DF" w:rsidRDefault="008645DF" w:rsidP="008645DF">
      <w:pPr>
        <w:rPr>
          <w:rFonts w:ascii="Arial" w:hAnsi="Arial" w:cs="Arial"/>
          <w:sz w:val="20"/>
          <w:szCs w:val="20"/>
        </w:rPr>
      </w:pPr>
    </w:p>
    <w:p w:rsidR="008645DF" w:rsidRDefault="008645DF" w:rsidP="008645DF">
      <w:pPr>
        <w:rPr>
          <w:rFonts w:ascii="Arial" w:hAnsi="Arial" w:cs="Arial"/>
          <w:sz w:val="20"/>
          <w:szCs w:val="20"/>
        </w:rPr>
      </w:pPr>
    </w:p>
    <w:p w:rsidR="008645DF" w:rsidRDefault="008645DF" w:rsidP="008645DF">
      <w:pPr>
        <w:rPr>
          <w:rFonts w:ascii="Arial" w:hAnsi="Arial" w:cs="Arial"/>
          <w:sz w:val="20"/>
          <w:szCs w:val="20"/>
        </w:rPr>
      </w:pPr>
    </w:p>
    <w:p w:rsidR="008645DF" w:rsidRDefault="008645DF" w:rsidP="008645DF">
      <w:pPr>
        <w:rPr>
          <w:rFonts w:ascii="Arial" w:hAnsi="Arial" w:cs="Arial"/>
          <w:sz w:val="20"/>
          <w:szCs w:val="20"/>
        </w:rPr>
      </w:pPr>
      <w:r w:rsidRPr="00F84BE2">
        <w:rPr>
          <w:rFonts w:ascii="Arial" w:hAnsi="Arial" w:cs="Arial"/>
          <w:sz w:val="20"/>
          <w:szCs w:val="20"/>
        </w:rPr>
        <w:lastRenderedPageBreak/>
        <w:t>Commune sur la côte normande :</w:t>
      </w:r>
    </w:p>
    <w:p w:rsidR="008645DF" w:rsidRPr="00F84BE2" w:rsidRDefault="008645DF" w:rsidP="008645DF">
      <w:pPr>
        <w:rPr>
          <w:rFonts w:ascii="Arial" w:hAnsi="Arial" w:cs="Arial"/>
          <w:sz w:val="20"/>
          <w:szCs w:val="20"/>
        </w:rPr>
      </w:pPr>
    </w:p>
    <w:p w:rsidR="008645DF" w:rsidRDefault="008645DF" w:rsidP="008645DF">
      <w:r>
        <w:rPr>
          <w:noProof/>
          <w:lang w:eastAsia="fr-FR"/>
        </w:rPr>
        <w:drawing>
          <wp:inline distT="0" distB="0" distL="0" distR="0">
            <wp:extent cx="6019800" cy="2849555"/>
            <wp:effectExtent l="19050" t="0" r="0" b="0"/>
            <wp:docPr id="2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srcRect/>
                    <a:stretch>
                      <a:fillRect/>
                    </a:stretch>
                  </pic:blipFill>
                  <pic:spPr bwMode="auto">
                    <a:xfrm>
                      <a:off x="0" y="0"/>
                      <a:ext cx="6019800" cy="2849555"/>
                    </a:xfrm>
                    <a:prstGeom prst="rect">
                      <a:avLst/>
                    </a:prstGeom>
                    <a:noFill/>
                    <a:ln w="9525">
                      <a:noFill/>
                      <a:miter lim="800000"/>
                      <a:headEnd/>
                      <a:tailEnd/>
                    </a:ln>
                  </pic:spPr>
                </pic:pic>
              </a:graphicData>
            </a:graphic>
          </wp:inline>
        </w:drawing>
      </w:r>
    </w:p>
    <w:p w:rsidR="008645DF" w:rsidRDefault="008645DF" w:rsidP="008645DF"/>
    <w:p w:rsidR="008645DF" w:rsidRPr="00F84BE2" w:rsidRDefault="008645DF" w:rsidP="008645DF">
      <w:pPr>
        <w:rPr>
          <w:rFonts w:ascii="Arial" w:hAnsi="Arial" w:cs="Arial"/>
          <w:sz w:val="20"/>
          <w:szCs w:val="20"/>
        </w:rPr>
      </w:pPr>
      <w:r w:rsidRPr="00F84BE2">
        <w:rPr>
          <w:rFonts w:ascii="Arial" w:hAnsi="Arial" w:cs="Arial"/>
          <w:sz w:val="20"/>
          <w:szCs w:val="20"/>
        </w:rPr>
        <w:t xml:space="preserve">Source : </w:t>
      </w:r>
      <w:hyperlink r:id="rId27" w:history="1">
        <w:r w:rsidRPr="00F84BE2">
          <w:rPr>
            <w:rStyle w:val="Lienhypertexte"/>
            <w:rFonts w:ascii="Arial" w:hAnsi="Arial" w:cs="Arial"/>
            <w:sz w:val="20"/>
            <w:szCs w:val="20"/>
          </w:rPr>
          <w:t>www.cartoradio.fr</w:t>
        </w:r>
      </w:hyperlink>
      <w:r w:rsidRPr="00F84BE2">
        <w:rPr>
          <w:rFonts w:ascii="Arial" w:hAnsi="Arial" w:cs="Arial"/>
          <w:sz w:val="20"/>
          <w:szCs w:val="20"/>
        </w:rPr>
        <w:t xml:space="preserve"> </w:t>
      </w:r>
    </w:p>
    <w:p w:rsidR="008645DF" w:rsidRDefault="008645DF" w:rsidP="008645DF">
      <w:pPr>
        <w:pStyle w:val="Paragraphedeliste"/>
      </w:pPr>
    </w:p>
    <w:p w:rsidR="008645DF" w:rsidRDefault="008645DF" w:rsidP="008645DF">
      <w:pPr>
        <w:pStyle w:val="Paragraphedeliste"/>
      </w:pPr>
    </w:p>
    <w:p w:rsidR="008645DF" w:rsidRDefault="008645DF" w:rsidP="009F3BB0">
      <w:pPr>
        <w:pStyle w:val="Paragraphedeliste"/>
        <w:numPr>
          <w:ilvl w:val="0"/>
          <w:numId w:val="20"/>
        </w:numPr>
        <w:spacing w:after="200" w:line="276" w:lineRule="auto"/>
        <w:rPr>
          <w:rFonts w:ascii="Arial" w:hAnsi="Arial" w:cs="Arial"/>
          <w:sz w:val="20"/>
          <w:szCs w:val="20"/>
        </w:rPr>
      </w:pPr>
      <w:r w:rsidRPr="00D466E1">
        <w:rPr>
          <w:rFonts w:ascii="Arial" w:hAnsi="Arial" w:cs="Arial"/>
          <w:sz w:val="20"/>
          <w:szCs w:val="20"/>
        </w:rPr>
        <w:t xml:space="preserve">A partir de </w:t>
      </w:r>
      <w:hyperlink r:id="rId28" w:history="1">
        <w:r w:rsidRPr="00D466E1">
          <w:rPr>
            <w:rStyle w:val="Lienhypertexte"/>
            <w:rFonts w:ascii="Arial" w:hAnsi="Arial" w:cs="Arial"/>
            <w:sz w:val="20"/>
            <w:szCs w:val="20"/>
          </w:rPr>
          <w:t>www.cartoradio.fr</w:t>
        </w:r>
      </w:hyperlink>
      <w:r w:rsidRPr="00D466E1">
        <w:rPr>
          <w:rFonts w:ascii="Arial" w:hAnsi="Arial" w:cs="Arial"/>
          <w:sz w:val="20"/>
          <w:szCs w:val="20"/>
        </w:rPr>
        <w:t xml:space="preserve">, aperçu d’un cocktail de bandes de fréquences émises depuis un même site (antennes-relais de téléphonie mobile) : </w:t>
      </w:r>
    </w:p>
    <w:p w:rsidR="008645DF" w:rsidRPr="00D466E1" w:rsidRDefault="008645DF" w:rsidP="008645DF">
      <w:pPr>
        <w:pStyle w:val="Paragraphedeliste"/>
        <w:rPr>
          <w:rFonts w:ascii="Arial" w:hAnsi="Arial" w:cs="Arial"/>
          <w:sz w:val="20"/>
          <w:szCs w:val="20"/>
        </w:rPr>
      </w:pPr>
    </w:p>
    <w:p w:rsidR="008645DF" w:rsidRDefault="008645DF" w:rsidP="008645DF">
      <w:r>
        <w:rPr>
          <w:noProof/>
          <w:lang w:eastAsia="fr-FR"/>
        </w:rPr>
        <w:drawing>
          <wp:inline distT="0" distB="0" distL="0" distR="0">
            <wp:extent cx="5314950" cy="3752850"/>
            <wp:effectExtent l="1905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5314950" cy="3752850"/>
                    </a:xfrm>
                    <a:prstGeom prst="rect">
                      <a:avLst/>
                    </a:prstGeom>
                    <a:noFill/>
                    <a:ln w="9525">
                      <a:noFill/>
                      <a:miter lim="800000"/>
                      <a:headEnd/>
                      <a:tailEnd/>
                    </a:ln>
                  </pic:spPr>
                </pic:pic>
              </a:graphicData>
            </a:graphic>
          </wp:inline>
        </w:drawing>
      </w:r>
    </w:p>
    <w:p w:rsidR="008645DF" w:rsidRDefault="008645DF" w:rsidP="008645DF"/>
    <w:p w:rsidR="008645DF" w:rsidRDefault="008645DF" w:rsidP="008645DF"/>
    <w:p w:rsidR="008645DF" w:rsidRDefault="008645DF" w:rsidP="008645DF"/>
    <w:p w:rsidR="008645DF" w:rsidRDefault="008645DF" w:rsidP="008645DF"/>
    <w:p w:rsidR="008645DF" w:rsidRDefault="008645DF" w:rsidP="008645DF"/>
    <w:p w:rsidR="008645DF" w:rsidRDefault="008645DF" w:rsidP="008645DF"/>
    <w:p w:rsidR="008645DF" w:rsidRPr="008645DF" w:rsidRDefault="008645DF" w:rsidP="008645DF">
      <w:pPr>
        <w:ind w:left="0" w:firstLine="0"/>
        <w:rPr>
          <w:rFonts w:ascii="Arial" w:hAnsi="Arial" w:cs="Arial"/>
          <w:sz w:val="20"/>
          <w:szCs w:val="20"/>
          <w:u w:val="single"/>
        </w:rPr>
      </w:pPr>
      <w:r w:rsidRPr="008645DF">
        <w:rPr>
          <w:rFonts w:ascii="Arial" w:hAnsi="Arial" w:cs="Arial"/>
          <w:sz w:val="20"/>
          <w:szCs w:val="20"/>
          <w:u w:val="single"/>
        </w:rPr>
        <w:lastRenderedPageBreak/>
        <w:t>Détail, à titre d’exemple, des bandes de fréquences pour un de ces opérateurs :</w:t>
      </w:r>
    </w:p>
    <w:p w:rsidR="008645DF" w:rsidRPr="008645DF" w:rsidRDefault="008645DF" w:rsidP="008645DF">
      <w:pPr>
        <w:ind w:left="0" w:firstLine="0"/>
        <w:rPr>
          <w:rFonts w:ascii="Arial" w:hAnsi="Arial" w:cs="Arial"/>
          <w:sz w:val="20"/>
          <w:szCs w:val="20"/>
        </w:rPr>
      </w:pPr>
      <w:r w:rsidRPr="008645DF">
        <w:rPr>
          <w:rFonts w:ascii="Arial" w:hAnsi="Arial" w:cs="Arial"/>
          <w:sz w:val="20"/>
          <w:szCs w:val="20"/>
        </w:rPr>
        <w:t>Eléments de compréhension : pour couvrir 360° à la ronde, ce que l’on appelle « une antenne » nécessite en fait trois antennes, chacune couvrant 120°. L’orientation sur un plan horizontal de chacune de ces antennes s’appelle l’« azimut ». Dans cet exemple, les trois antennes sont orientées à 10°, 130° et 260° : placer un rapporteur sur le point d’implantation, 0° marquant le Nord. Chaque antenne émet en faisceau, avec une plus forte exposition dans le lobe principal qui couvre 30° à droite et 30° à gauche de l’azimut, le reste des 120° constituant le « lobe secondaire ».</w:t>
      </w:r>
    </w:p>
    <w:p w:rsidR="008645DF" w:rsidRDefault="008645DF" w:rsidP="008645DF"/>
    <w:p w:rsidR="008645DF" w:rsidRDefault="008645DF" w:rsidP="002C198C">
      <w:pPr>
        <w:ind w:left="0" w:firstLine="0"/>
      </w:pPr>
      <w:r w:rsidRPr="002052ED">
        <w:rPr>
          <w:noProof/>
          <w:lang w:eastAsia="fr-FR"/>
        </w:rPr>
        <w:drawing>
          <wp:inline distT="0" distB="0" distL="0" distR="0">
            <wp:extent cx="5753100" cy="3152775"/>
            <wp:effectExtent l="19050" t="0" r="0" b="0"/>
            <wp:docPr id="1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a:stretch>
                      <a:fillRect/>
                    </a:stretch>
                  </pic:blipFill>
                  <pic:spPr bwMode="auto">
                    <a:xfrm>
                      <a:off x="0" y="0"/>
                      <a:ext cx="5753100" cy="3152775"/>
                    </a:xfrm>
                    <a:prstGeom prst="rect">
                      <a:avLst/>
                    </a:prstGeom>
                    <a:noFill/>
                    <a:ln w="9525">
                      <a:noFill/>
                      <a:miter lim="800000"/>
                      <a:headEnd/>
                      <a:tailEnd/>
                    </a:ln>
                  </pic:spPr>
                </pic:pic>
              </a:graphicData>
            </a:graphic>
          </wp:inline>
        </w:drawing>
      </w:r>
      <w:r>
        <w:rPr>
          <w:noProof/>
          <w:lang w:eastAsia="fr-FR"/>
        </w:rPr>
        <w:drawing>
          <wp:inline distT="0" distB="0" distL="0" distR="0">
            <wp:extent cx="5753100" cy="3200400"/>
            <wp:effectExtent l="1905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srcRect/>
                    <a:stretch>
                      <a:fillRect/>
                    </a:stretch>
                  </pic:blipFill>
                  <pic:spPr bwMode="auto">
                    <a:xfrm>
                      <a:off x="0" y="0"/>
                      <a:ext cx="5753100" cy="3200400"/>
                    </a:xfrm>
                    <a:prstGeom prst="rect">
                      <a:avLst/>
                    </a:prstGeom>
                    <a:noFill/>
                    <a:ln w="9525">
                      <a:noFill/>
                      <a:miter lim="800000"/>
                      <a:headEnd/>
                      <a:tailEnd/>
                    </a:ln>
                  </pic:spPr>
                </pic:pic>
              </a:graphicData>
            </a:graphic>
          </wp:inline>
        </w:drawing>
      </w:r>
      <w:r>
        <w:rPr>
          <w:noProof/>
          <w:lang w:eastAsia="fr-FR"/>
        </w:rPr>
        <w:lastRenderedPageBreak/>
        <w:drawing>
          <wp:inline distT="0" distB="0" distL="0" distR="0">
            <wp:extent cx="5753100" cy="2876550"/>
            <wp:effectExtent l="19050" t="0" r="0"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5753100" cy="2876550"/>
                    </a:xfrm>
                    <a:prstGeom prst="rect">
                      <a:avLst/>
                    </a:prstGeom>
                    <a:noFill/>
                    <a:ln w="9525">
                      <a:noFill/>
                      <a:miter lim="800000"/>
                      <a:headEnd/>
                      <a:tailEnd/>
                    </a:ln>
                  </pic:spPr>
                </pic:pic>
              </a:graphicData>
            </a:graphic>
          </wp:inline>
        </w:drawing>
      </w:r>
      <w:r w:rsidRPr="002052ED">
        <w:rPr>
          <w:noProof/>
          <w:lang w:eastAsia="fr-FR"/>
        </w:rPr>
        <w:drawing>
          <wp:inline distT="0" distB="0" distL="0" distR="0">
            <wp:extent cx="5753100" cy="2905125"/>
            <wp:effectExtent l="19050" t="0" r="0" b="0"/>
            <wp:docPr id="1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srcRect/>
                    <a:stretch>
                      <a:fillRect/>
                    </a:stretch>
                  </pic:blipFill>
                  <pic:spPr bwMode="auto">
                    <a:xfrm>
                      <a:off x="0" y="0"/>
                      <a:ext cx="5753100" cy="2905125"/>
                    </a:xfrm>
                    <a:prstGeom prst="rect">
                      <a:avLst/>
                    </a:prstGeom>
                    <a:noFill/>
                    <a:ln w="9525">
                      <a:noFill/>
                      <a:miter lim="800000"/>
                      <a:headEnd/>
                      <a:tailEnd/>
                    </a:ln>
                  </pic:spPr>
                </pic:pic>
              </a:graphicData>
            </a:graphic>
          </wp:inline>
        </w:drawing>
      </w:r>
      <w:r>
        <w:rPr>
          <w:noProof/>
          <w:lang w:eastAsia="fr-FR"/>
        </w:rPr>
        <w:drawing>
          <wp:inline distT="0" distB="0" distL="0" distR="0">
            <wp:extent cx="5753100" cy="1333500"/>
            <wp:effectExtent l="1905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srcRect/>
                    <a:stretch>
                      <a:fillRect/>
                    </a:stretch>
                  </pic:blipFill>
                  <pic:spPr bwMode="auto">
                    <a:xfrm>
                      <a:off x="0" y="0"/>
                      <a:ext cx="5753100" cy="1333500"/>
                    </a:xfrm>
                    <a:prstGeom prst="rect">
                      <a:avLst/>
                    </a:prstGeom>
                    <a:noFill/>
                    <a:ln w="9525">
                      <a:noFill/>
                      <a:miter lim="800000"/>
                      <a:headEnd/>
                      <a:tailEnd/>
                    </a:ln>
                  </pic:spPr>
                </pic:pic>
              </a:graphicData>
            </a:graphic>
          </wp:inline>
        </w:drawing>
      </w:r>
    </w:p>
    <w:p w:rsidR="008645DF" w:rsidRDefault="008645DF" w:rsidP="008645DF"/>
    <w:p w:rsidR="002C198C" w:rsidRDefault="002C198C" w:rsidP="008645DF"/>
    <w:p w:rsidR="002C198C" w:rsidRDefault="002C198C" w:rsidP="008645DF"/>
    <w:p w:rsidR="002C198C" w:rsidRDefault="002C198C" w:rsidP="008645DF"/>
    <w:p w:rsidR="002C198C" w:rsidRDefault="002C198C" w:rsidP="008645DF"/>
    <w:p w:rsidR="002C198C" w:rsidRDefault="002C198C" w:rsidP="008645DF"/>
    <w:p w:rsidR="002C198C" w:rsidRDefault="002C198C" w:rsidP="008645DF"/>
    <w:p w:rsidR="002C198C" w:rsidRDefault="002C198C" w:rsidP="008645DF"/>
    <w:p w:rsidR="002C198C" w:rsidRDefault="008645DF" w:rsidP="009F3BB0">
      <w:pPr>
        <w:pStyle w:val="Paragraphedeliste"/>
        <w:numPr>
          <w:ilvl w:val="0"/>
          <w:numId w:val="20"/>
        </w:numPr>
        <w:spacing w:after="200" w:line="276" w:lineRule="auto"/>
        <w:ind w:left="0" w:firstLine="207"/>
        <w:rPr>
          <w:rFonts w:ascii="Arial" w:hAnsi="Arial" w:cs="Arial"/>
          <w:sz w:val="20"/>
          <w:szCs w:val="20"/>
        </w:rPr>
      </w:pPr>
      <w:r w:rsidRPr="002C198C">
        <w:rPr>
          <w:rFonts w:ascii="Arial" w:hAnsi="Arial" w:cs="Arial"/>
          <w:sz w:val="20"/>
          <w:szCs w:val="20"/>
        </w:rPr>
        <w:t>L’électrosmog local dépend également des usages des personn</w:t>
      </w:r>
      <w:r w:rsidR="002C198C" w:rsidRPr="002C198C">
        <w:rPr>
          <w:rFonts w:ascii="Arial" w:hAnsi="Arial" w:cs="Arial"/>
          <w:sz w:val="20"/>
          <w:szCs w:val="20"/>
        </w:rPr>
        <w:t>es dans un environnement proche :</w:t>
      </w:r>
    </w:p>
    <w:p w:rsidR="008645DF" w:rsidRPr="002C198C" w:rsidRDefault="008645DF" w:rsidP="002C198C">
      <w:pPr>
        <w:pStyle w:val="Paragraphedeliste"/>
        <w:spacing w:after="200" w:line="276" w:lineRule="auto"/>
        <w:ind w:left="207" w:firstLine="360"/>
        <w:rPr>
          <w:rFonts w:ascii="Arial" w:hAnsi="Arial" w:cs="Arial"/>
          <w:sz w:val="20"/>
          <w:szCs w:val="20"/>
        </w:rPr>
      </w:pPr>
      <w:r w:rsidRPr="002C198C">
        <w:rPr>
          <w:rFonts w:ascii="Arial" w:hAnsi="Arial" w:cs="Arial"/>
          <w:sz w:val="20"/>
          <w:szCs w:val="20"/>
        </w:rPr>
        <w:t>2 exemples :</w:t>
      </w:r>
    </w:p>
    <w:p w:rsidR="008645DF" w:rsidRPr="00D466E1" w:rsidRDefault="008645DF" w:rsidP="009F3BB0">
      <w:pPr>
        <w:pStyle w:val="Paragraphedeliste"/>
        <w:numPr>
          <w:ilvl w:val="0"/>
          <w:numId w:val="25"/>
        </w:numPr>
        <w:spacing w:after="200" w:line="276" w:lineRule="auto"/>
        <w:ind w:left="567"/>
        <w:rPr>
          <w:rFonts w:ascii="Arial" w:hAnsi="Arial" w:cs="Arial"/>
          <w:sz w:val="20"/>
          <w:szCs w:val="20"/>
        </w:rPr>
      </w:pPr>
      <w:r w:rsidRPr="00D466E1">
        <w:rPr>
          <w:rFonts w:ascii="Arial" w:hAnsi="Arial" w:cs="Arial"/>
          <w:sz w:val="20"/>
          <w:szCs w:val="20"/>
        </w:rPr>
        <w:t>35 émissions WIFI détectées dans l’appartement d’un immeuble collectif de l’est parisien en 2013 :</w:t>
      </w:r>
    </w:p>
    <w:p w:rsidR="008645DF" w:rsidRDefault="008645DF" w:rsidP="00410966">
      <w:pPr>
        <w:ind w:left="0" w:firstLine="0"/>
      </w:pPr>
      <w:r>
        <w:rPr>
          <w:noProof/>
          <w:lang w:eastAsia="fr-FR"/>
        </w:rPr>
        <w:lastRenderedPageBreak/>
        <w:drawing>
          <wp:inline distT="0" distB="0" distL="0" distR="0">
            <wp:extent cx="6115050" cy="5819775"/>
            <wp:effectExtent l="19050" t="0" r="0" b="0"/>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a:stretch>
                      <a:fillRect/>
                    </a:stretch>
                  </pic:blipFill>
                  <pic:spPr bwMode="auto">
                    <a:xfrm>
                      <a:off x="0" y="0"/>
                      <a:ext cx="6115050" cy="5819775"/>
                    </a:xfrm>
                    <a:prstGeom prst="rect">
                      <a:avLst/>
                    </a:prstGeom>
                    <a:noFill/>
                    <a:ln w="9525">
                      <a:noFill/>
                      <a:miter lim="800000"/>
                      <a:headEnd/>
                      <a:tailEnd/>
                    </a:ln>
                  </pic:spPr>
                </pic:pic>
              </a:graphicData>
            </a:graphic>
          </wp:inline>
        </w:drawing>
      </w:r>
      <w:r>
        <w:rPr>
          <w:noProof/>
          <w:lang w:eastAsia="fr-FR"/>
        </w:rPr>
        <w:drawing>
          <wp:inline distT="0" distB="0" distL="0" distR="0">
            <wp:extent cx="6115050" cy="3228975"/>
            <wp:effectExtent l="19050" t="0" r="0" b="0"/>
            <wp:docPr id="1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srcRect/>
                    <a:stretch>
                      <a:fillRect/>
                    </a:stretch>
                  </pic:blipFill>
                  <pic:spPr bwMode="auto">
                    <a:xfrm>
                      <a:off x="0" y="0"/>
                      <a:ext cx="6115050" cy="3228975"/>
                    </a:xfrm>
                    <a:prstGeom prst="rect">
                      <a:avLst/>
                    </a:prstGeom>
                    <a:noFill/>
                    <a:ln w="9525">
                      <a:noFill/>
                      <a:miter lim="800000"/>
                      <a:headEnd/>
                      <a:tailEnd/>
                    </a:ln>
                  </pic:spPr>
                </pic:pic>
              </a:graphicData>
            </a:graphic>
          </wp:inline>
        </w:drawing>
      </w:r>
    </w:p>
    <w:p w:rsidR="008645DF" w:rsidRPr="00D466E1" w:rsidRDefault="008645DF" w:rsidP="009F3BB0">
      <w:pPr>
        <w:pStyle w:val="Paragraphedeliste"/>
        <w:numPr>
          <w:ilvl w:val="0"/>
          <w:numId w:val="25"/>
        </w:numPr>
        <w:spacing w:after="200" w:line="276" w:lineRule="auto"/>
        <w:rPr>
          <w:rFonts w:ascii="Arial" w:hAnsi="Arial" w:cs="Arial"/>
          <w:sz w:val="20"/>
          <w:szCs w:val="20"/>
        </w:rPr>
      </w:pPr>
      <w:r w:rsidRPr="00D466E1">
        <w:rPr>
          <w:rFonts w:ascii="Arial" w:hAnsi="Arial" w:cs="Arial"/>
          <w:sz w:val="20"/>
          <w:szCs w:val="20"/>
        </w:rPr>
        <w:lastRenderedPageBreak/>
        <w:t xml:space="preserve"> 4 WIFI détectés dans un pavillon de la banlieue parisienne en 2025 :</w:t>
      </w:r>
    </w:p>
    <w:p w:rsidR="008645DF" w:rsidRDefault="008645DF" w:rsidP="008645DF">
      <w:r>
        <w:rPr>
          <w:noProof/>
          <w:lang w:eastAsia="fr-FR"/>
        </w:rPr>
        <w:drawing>
          <wp:inline distT="0" distB="0" distL="0" distR="0">
            <wp:extent cx="2189480" cy="5504180"/>
            <wp:effectExtent l="19050" t="0" r="1270" b="0"/>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srcRect/>
                    <a:stretch>
                      <a:fillRect/>
                    </a:stretch>
                  </pic:blipFill>
                  <pic:spPr bwMode="auto">
                    <a:xfrm>
                      <a:off x="0" y="0"/>
                      <a:ext cx="2189480" cy="5504180"/>
                    </a:xfrm>
                    <a:prstGeom prst="rect">
                      <a:avLst/>
                    </a:prstGeom>
                    <a:noFill/>
                    <a:ln w="9525">
                      <a:noFill/>
                      <a:miter lim="800000"/>
                      <a:headEnd/>
                      <a:tailEnd/>
                    </a:ln>
                  </pic:spPr>
                </pic:pic>
              </a:graphicData>
            </a:graphic>
          </wp:inline>
        </w:drawing>
      </w:r>
      <w:r>
        <w:t xml:space="preserve"> </w:t>
      </w:r>
    </w:p>
    <w:p w:rsidR="008645DF" w:rsidRDefault="008645DF" w:rsidP="008645DF">
      <w:r>
        <w:br w:type="page"/>
      </w:r>
    </w:p>
    <w:p w:rsidR="008645DF" w:rsidRPr="009E4107" w:rsidRDefault="008645DF" w:rsidP="009F3BB0">
      <w:pPr>
        <w:pStyle w:val="Paragraphedeliste"/>
        <w:numPr>
          <w:ilvl w:val="0"/>
          <w:numId w:val="20"/>
        </w:numPr>
        <w:spacing w:after="200" w:line="276" w:lineRule="auto"/>
        <w:rPr>
          <w:u w:val="single"/>
        </w:rPr>
      </w:pPr>
      <w:r w:rsidRPr="009E4107">
        <w:rPr>
          <w:u w:val="single"/>
        </w:rPr>
        <w:lastRenderedPageBreak/>
        <w:t xml:space="preserve">Tableau des paramètres dont peuvent dépendre de potentiels effets bioélectromagnétiques, </w:t>
      </w:r>
    </w:p>
    <w:p w:rsidR="008645DF" w:rsidRDefault="008645DF" w:rsidP="008645DF">
      <w:pPr>
        <w:pStyle w:val="Paragraphedeliste"/>
      </w:pPr>
      <w:r w:rsidRPr="009E4107">
        <w:rPr>
          <w:u w:val="single"/>
        </w:rPr>
        <w:t>à intégrer à un protocole d’études en vue de leur reproductibilité et de leur comparabilité</w:t>
      </w:r>
      <w:r>
        <w:t xml:space="preserve"> :</w:t>
      </w:r>
    </w:p>
    <w:p w:rsidR="008645DF" w:rsidRDefault="008645DF" w:rsidP="008645DF">
      <w:pPr>
        <w:pStyle w:val="Paragraphedeliste"/>
      </w:pPr>
    </w:p>
    <w:tbl>
      <w:tblPr>
        <w:tblW w:w="9640" w:type="dxa"/>
        <w:tblInd w:w="55" w:type="dxa"/>
        <w:tblCellMar>
          <w:left w:w="70" w:type="dxa"/>
          <w:right w:w="70" w:type="dxa"/>
        </w:tblCellMar>
        <w:tblLook w:val="04A0"/>
      </w:tblPr>
      <w:tblGrid>
        <w:gridCol w:w="4460"/>
        <w:gridCol w:w="5180"/>
      </w:tblGrid>
      <w:tr w:rsidR="008645DF" w:rsidRPr="00A77F16" w:rsidTr="008645DF">
        <w:trPr>
          <w:trHeight w:val="465"/>
        </w:trPr>
        <w:tc>
          <w:tcPr>
            <w:tcW w:w="4460" w:type="dxa"/>
            <w:tcBorders>
              <w:top w:val="single" w:sz="4" w:space="0" w:color="auto"/>
              <w:left w:val="single" w:sz="4" w:space="0" w:color="auto"/>
              <w:bottom w:val="single" w:sz="4" w:space="0" w:color="auto"/>
              <w:right w:val="single" w:sz="4" w:space="0" w:color="auto"/>
            </w:tcBorders>
            <w:shd w:val="clear" w:color="000000" w:fill="93CDDD"/>
            <w:noWrap/>
            <w:vAlign w:val="center"/>
            <w:hideMark/>
          </w:tcPr>
          <w:p w:rsidR="008645DF" w:rsidRPr="00A77F16" w:rsidRDefault="008645DF" w:rsidP="008645DF">
            <w:pPr>
              <w:jc w:val="center"/>
              <w:rPr>
                <w:rFonts w:ascii="Calibri" w:eastAsia="Times New Roman" w:hAnsi="Calibri" w:cs="Calibri"/>
                <w:color w:val="000000"/>
                <w:lang w:eastAsia="fr-FR"/>
              </w:rPr>
            </w:pPr>
            <w:r w:rsidRPr="00A77F16">
              <w:rPr>
                <w:rFonts w:ascii="Calibri" w:eastAsia="Times New Roman" w:hAnsi="Calibri" w:cs="Calibri"/>
                <w:color w:val="000000"/>
                <w:lang w:eastAsia="fr-FR"/>
              </w:rPr>
              <w:t>Facteur</w:t>
            </w:r>
          </w:p>
        </w:tc>
        <w:tc>
          <w:tcPr>
            <w:tcW w:w="5180" w:type="dxa"/>
            <w:tcBorders>
              <w:top w:val="single" w:sz="4" w:space="0" w:color="auto"/>
              <w:left w:val="nil"/>
              <w:bottom w:val="single" w:sz="4" w:space="0" w:color="auto"/>
              <w:right w:val="single" w:sz="4" w:space="0" w:color="auto"/>
            </w:tcBorders>
            <w:shd w:val="clear" w:color="000000" w:fill="93CDDD"/>
            <w:vAlign w:val="center"/>
            <w:hideMark/>
          </w:tcPr>
          <w:p w:rsidR="008645DF" w:rsidRPr="00A77F16" w:rsidRDefault="008645DF" w:rsidP="008645DF">
            <w:pPr>
              <w:jc w:val="center"/>
              <w:rPr>
                <w:rFonts w:ascii="Calibri" w:eastAsia="Times New Roman" w:hAnsi="Calibri" w:cs="Calibri"/>
                <w:color w:val="000000"/>
                <w:lang w:eastAsia="fr-FR"/>
              </w:rPr>
            </w:pPr>
            <w:r w:rsidRPr="00A77F16">
              <w:rPr>
                <w:rFonts w:ascii="Calibri" w:eastAsia="Times New Roman" w:hAnsi="Calibri" w:cs="Calibri"/>
                <w:color w:val="000000"/>
                <w:lang w:eastAsia="fr-FR"/>
              </w:rPr>
              <w:t>Influence potentielle</w:t>
            </w:r>
          </w:p>
        </w:tc>
      </w:tr>
      <w:tr w:rsidR="008645DF" w:rsidRPr="00A77F16" w:rsidTr="008645DF">
        <w:trPr>
          <w:trHeight w:val="900"/>
        </w:trPr>
        <w:tc>
          <w:tcPr>
            <w:tcW w:w="4460" w:type="dxa"/>
            <w:tcBorders>
              <w:top w:val="nil"/>
              <w:left w:val="single" w:sz="4" w:space="0" w:color="auto"/>
              <w:bottom w:val="single" w:sz="4" w:space="0" w:color="auto"/>
              <w:right w:val="single" w:sz="4" w:space="0" w:color="auto"/>
            </w:tcBorders>
            <w:shd w:val="clear" w:color="auto" w:fill="auto"/>
            <w:noWrap/>
            <w:vAlign w:val="center"/>
            <w:hideMark/>
          </w:tcPr>
          <w:p w:rsidR="008645DF" w:rsidRPr="00A77F16" w:rsidRDefault="008645DF" w:rsidP="002C198C">
            <w:pPr>
              <w:ind w:left="0"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Fréquence porteuse (ex : 2,4 GHz pour le Wifi)</w:t>
            </w:r>
          </w:p>
        </w:tc>
        <w:tc>
          <w:tcPr>
            <w:tcW w:w="5180" w:type="dxa"/>
            <w:tcBorders>
              <w:top w:val="nil"/>
              <w:left w:val="nil"/>
              <w:bottom w:val="single" w:sz="4" w:space="0" w:color="auto"/>
              <w:right w:val="single" w:sz="4" w:space="0" w:color="auto"/>
            </w:tcBorders>
            <w:shd w:val="clear" w:color="auto" w:fill="auto"/>
            <w:vAlign w:val="center"/>
            <w:hideMark/>
          </w:tcPr>
          <w:p w:rsidR="008645DF" w:rsidRPr="00A77F16" w:rsidRDefault="008645DF" w:rsidP="002C198C">
            <w:pPr>
              <w:ind w:left="21"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Plus elle est élevée, plus la pénétration diminue, mais les dépôts d’énergie en surface augmentent (ex : 26 GHz pour la 5G).</w:t>
            </w:r>
          </w:p>
        </w:tc>
      </w:tr>
      <w:tr w:rsidR="008645DF" w:rsidRPr="00A77F16" w:rsidTr="008645DF">
        <w:trPr>
          <w:trHeight w:val="810"/>
        </w:trPr>
        <w:tc>
          <w:tcPr>
            <w:tcW w:w="4460" w:type="dxa"/>
            <w:tcBorders>
              <w:top w:val="nil"/>
              <w:left w:val="single" w:sz="4" w:space="0" w:color="auto"/>
              <w:bottom w:val="single" w:sz="4" w:space="0" w:color="auto"/>
              <w:right w:val="single" w:sz="4" w:space="0" w:color="auto"/>
            </w:tcBorders>
            <w:shd w:val="clear" w:color="auto" w:fill="auto"/>
            <w:noWrap/>
            <w:vAlign w:val="center"/>
            <w:hideMark/>
          </w:tcPr>
          <w:p w:rsidR="008645DF" w:rsidRPr="00A77F16" w:rsidRDefault="008645DF" w:rsidP="002C198C">
            <w:pPr>
              <w:ind w:left="0"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Puissance (DAS ou SAR)</w:t>
            </w:r>
          </w:p>
        </w:tc>
        <w:tc>
          <w:tcPr>
            <w:tcW w:w="5180" w:type="dxa"/>
            <w:tcBorders>
              <w:top w:val="nil"/>
              <w:left w:val="nil"/>
              <w:bottom w:val="single" w:sz="4" w:space="0" w:color="auto"/>
              <w:right w:val="single" w:sz="4" w:space="0" w:color="auto"/>
            </w:tcBorders>
            <w:shd w:val="clear" w:color="auto" w:fill="auto"/>
            <w:vAlign w:val="center"/>
            <w:hideMark/>
          </w:tcPr>
          <w:p w:rsidR="008645DF" w:rsidRPr="00A77F16" w:rsidRDefault="008645DF" w:rsidP="002C198C">
            <w:pPr>
              <w:ind w:left="21"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Mesure le taux d’absorption d’énergie dans les tissus</w:t>
            </w:r>
          </w:p>
        </w:tc>
      </w:tr>
      <w:tr w:rsidR="008645DF" w:rsidRPr="00A77F16" w:rsidTr="008645DF">
        <w:trPr>
          <w:trHeight w:val="900"/>
        </w:trPr>
        <w:tc>
          <w:tcPr>
            <w:tcW w:w="4460" w:type="dxa"/>
            <w:tcBorders>
              <w:top w:val="nil"/>
              <w:left w:val="single" w:sz="4" w:space="0" w:color="auto"/>
              <w:bottom w:val="single" w:sz="4" w:space="0" w:color="auto"/>
              <w:right w:val="single" w:sz="4" w:space="0" w:color="auto"/>
            </w:tcBorders>
            <w:shd w:val="clear" w:color="auto" w:fill="auto"/>
            <w:noWrap/>
            <w:vAlign w:val="center"/>
            <w:hideMark/>
          </w:tcPr>
          <w:p w:rsidR="008645DF" w:rsidRPr="00A77F16" w:rsidRDefault="008645DF" w:rsidP="002C198C">
            <w:pPr>
              <w:ind w:left="0"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Durée d'exposition</w:t>
            </w:r>
          </w:p>
        </w:tc>
        <w:tc>
          <w:tcPr>
            <w:tcW w:w="5180" w:type="dxa"/>
            <w:tcBorders>
              <w:top w:val="nil"/>
              <w:left w:val="nil"/>
              <w:bottom w:val="single" w:sz="4" w:space="0" w:color="auto"/>
              <w:right w:val="single" w:sz="4" w:space="0" w:color="auto"/>
            </w:tcBorders>
            <w:shd w:val="clear" w:color="auto" w:fill="auto"/>
            <w:vAlign w:val="center"/>
            <w:hideMark/>
          </w:tcPr>
          <w:p w:rsidR="008645DF" w:rsidRPr="00A77F16" w:rsidRDefault="008645DF" w:rsidP="002C198C">
            <w:pPr>
              <w:ind w:left="21"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Plus elle est longue, plus les effets cumulatifs sont à considérer</w:t>
            </w:r>
          </w:p>
        </w:tc>
      </w:tr>
      <w:tr w:rsidR="008645DF" w:rsidRPr="00A77F16" w:rsidTr="008645DF">
        <w:trPr>
          <w:trHeight w:val="2553"/>
        </w:trPr>
        <w:tc>
          <w:tcPr>
            <w:tcW w:w="4460" w:type="dxa"/>
            <w:tcBorders>
              <w:top w:val="nil"/>
              <w:left w:val="single" w:sz="4" w:space="0" w:color="auto"/>
              <w:bottom w:val="single" w:sz="4" w:space="0" w:color="auto"/>
              <w:right w:val="single" w:sz="4" w:space="0" w:color="auto"/>
            </w:tcBorders>
            <w:shd w:val="clear" w:color="auto" w:fill="auto"/>
            <w:vAlign w:val="center"/>
            <w:hideMark/>
          </w:tcPr>
          <w:p w:rsidR="002C198C" w:rsidRDefault="008645DF" w:rsidP="002C198C">
            <w:pPr>
              <w:ind w:left="0"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Modulation du signal</w:t>
            </w:r>
          </w:p>
          <w:p w:rsidR="008645DF" w:rsidRPr="00A77F16" w:rsidRDefault="008645DF" w:rsidP="002C198C">
            <w:pPr>
              <w:ind w:left="0"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 xml:space="preserve">                                                      </w:t>
            </w:r>
            <w:r w:rsidR="002C198C">
              <w:rPr>
                <w:rFonts w:ascii="Calibri" w:eastAsia="Times New Roman" w:hAnsi="Calibri" w:cs="Calibri"/>
                <w:color w:val="000000"/>
                <w:lang w:eastAsia="fr-FR"/>
              </w:rPr>
              <w:t xml:space="preserve">                      </w:t>
            </w:r>
            <w:r w:rsidRPr="00A77F16">
              <w:rPr>
                <w:rFonts w:ascii="Calibri" w:eastAsia="Times New Roman" w:hAnsi="Calibri" w:cs="Calibri"/>
                <w:color w:val="000000"/>
                <w:lang w:eastAsia="fr-FR"/>
              </w:rPr>
              <w:t>(façon dont l'information est encodée sur la porteuse, ex : ASK, FSK ou PSK pour le Wifi; ou bien encore CW : continuous Wave, onde non modulée)</w:t>
            </w:r>
          </w:p>
        </w:tc>
        <w:tc>
          <w:tcPr>
            <w:tcW w:w="5180" w:type="dxa"/>
            <w:tcBorders>
              <w:top w:val="nil"/>
              <w:left w:val="nil"/>
              <w:bottom w:val="single" w:sz="4" w:space="0" w:color="auto"/>
              <w:right w:val="single" w:sz="4" w:space="0" w:color="auto"/>
            </w:tcBorders>
            <w:shd w:val="clear" w:color="auto" w:fill="auto"/>
            <w:vAlign w:val="center"/>
            <w:hideMark/>
          </w:tcPr>
          <w:p w:rsidR="008645DF" w:rsidRPr="00A77F16" w:rsidRDefault="008645DF" w:rsidP="002C198C">
            <w:pPr>
              <w:ind w:left="21"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La modulation introduit une variation rythmique dans l’exposition, ce qui pourrait interférer avec des processus biologiques rythmés (par ex : le cycle cellulaire), mimer des signaux électrophysiologiques naturels (par ex : cerveau ou coeur) et/ou générer des effets dits de fenêtres de fréquence ou d’intensité</w:t>
            </w:r>
          </w:p>
        </w:tc>
      </w:tr>
      <w:tr w:rsidR="008645DF" w:rsidRPr="00A77F16" w:rsidTr="008645DF">
        <w:trPr>
          <w:trHeight w:val="1200"/>
        </w:trPr>
        <w:tc>
          <w:tcPr>
            <w:tcW w:w="4460" w:type="dxa"/>
            <w:tcBorders>
              <w:top w:val="nil"/>
              <w:left w:val="single" w:sz="4" w:space="0" w:color="auto"/>
              <w:bottom w:val="single" w:sz="4" w:space="0" w:color="auto"/>
              <w:right w:val="single" w:sz="4" w:space="0" w:color="auto"/>
            </w:tcBorders>
            <w:shd w:val="clear" w:color="auto" w:fill="auto"/>
            <w:vAlign w:val="center"/>
            <w:hideMark/>
          </w:tcPr>
          <w:p w:rsidR="002C198C" w:rsidRDefault="008645DF" w:rsidP="002C198C">
            <w:pPr>
              <w:ind w:left="0"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Techniques de multiplexage</w:t>
            </w:r>
          </w:p>
          <w:p w:rsidR="008645DF" w:rsidRPr="00A77F16" w:rsidRDefault="008645DF" w:rsidP="002C198C">
            <w:pPr>
              <w:ind w:left="0"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(ex : OFDM, OFDMA)</w:t>
            </w:r>
          </w:p>
        </w:tc>
        <w:tc>
          <w:tcPr>
            <w:tcW w:w="5180" w:type="dxa"/>
            <w:tcBorders>
              <w:top w:val="nil"/>
              <w:left w:val="nil"/>
              <w:bottom w:val="single" w:sz="4" w:space="0" w:color="auto"/>
              <w:right w:val="single" w:sz="4" w:space="0" w:color="auto"/>
            </w:tcBorders>
            <w:shd w:val="clear" w:color="auto" w:fill="auto"/>
            <w:vAlign w:val="center"/>
            <w:hideMark/>
          </w:tcPr>
          <w:p w:rsidR="008645DF" w:rsidRPr="00A77F16" w:rsidRDefault="008645DF" w:rsidP="002C198C">
            <w:pPr>
              <w:ind w:left="21"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Le multiplexage, qui consiste à combiner plusieurs signaux sur une même fréquence, pourrait influencer la manière dont les ondes interagissent avec les tissus biologiques.</w:t>
            </w:r>
          </w:p>
        </w:tc>
      </w:tr>
      <w:tr w:rsidR="008645DF" w:rsidRPr="00A77F16" w:rsidTr="008645DF">
        <w:trPr>
          <w:trHeight w:val="1200"/>
        </w:trPr>
        <w:tc>
          <w:tcPr>
            <w:tcW w:w="4460" w:type="dxa"/>
            <w:tcBorders>
              <w:top w:val="nil"/>
              <w:left w:val="single" w:sz="4" w:space="0" w:color="auto"/>
              <w:bottom w:val="single" w:sz="4" w:space="0" w:color="auto"/>
              <w:right w:val="single" w:sz="4" w:space="0" w:color="auto"/>
            </w:tcBorders>
            <w:shd w:val="clear" w:color="auto" w:fill="auto"/>
            <w:vAlign w:val="center"/>
            <w:hideMark/>
          </w:tcPr>
          <w:p w:rsidR="008645DF" w:rsidRPr="00A77F16" w:rsidRDefault="008645DF" w:rsidP="002C198C">
            <w:pPr>
              <w:ind w:left="0"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Ondes pulsées (oui ou non)</w:t>
            </w:r>
          </w:p>
        </w:tc>
        <w:tc>
          <w:tcPr>
            <w:tcW w:w="5180" w:type="dxa"/>
            <w:tcBorders>
              <w:top w:val="nil"/>
              <w:left w:val="nil"/>
              <w:bottom w:val="single" w:sz="4" w:space="0" w:color="auto"/>
              <w:right w:val="single" w:sz="4" w:space="0" w:color="auto"/>
            </w:tcBorders>
            <w:shd w:val="clear" w:color="auto" w:fill="auto"/>
            <w:vAlign w:val="center"/>
            <w:hideMark/>
          </w:tcPr>
          <w:p w:rsidR="008645DF" w:rsidRPr="00A77F16" w:rsidRDefault="008645DF" w:rsidP="002C198C">
            <w:pPr>
              <w:ind w:left="21"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Ce caractère pulsé ou</w:t>
            </w:r>
            <w:r>
              <w:rPr>
                <w:rFonts w:ascii="Calibri" w:eastAsia="Times New Roman" w:hAnsi="Calibri" w:cs="Calibri"/>
                <w:color w:val="000000"/>
                <w:lang w:eastAsia="fr-FR"/>
              </w:rPr>
              <w:t xml:space="preserve"> en</w:t>
            </w:r>
            <w:r w:rsidRPr="00A77F16">
              <w:rPr>
                <w:rFonts w:ascii="Calibri" w:eastAsia="Times New Roman" w:hAnsi="Calibri" w:cs="Calibri"/>
                <w:color w:val="000000"/>
                <w:lang w:eastAsia="fr-FR"/>
              </w:rPr>
              <w:t xml:space="preserve"> rafale peut produire des variations rapides d’intensité du champ électromagnétique. Quel impact d'un signal intermittent ? </w:t>
            </w:r>
          </w:p>
        </w:tc>
      </w:tr>
      <w:tr w:rsidR="008645DF" w:rsidRPr="00A77F16" w:rsidTr="008645DF">
        <w:trPr>
          <w:trHeight w:val="2400"/>
        </w:trPr>
        <w:tc>
          <w:tcPr>
            <w:tcW w:w="4460" w:type="dxa"/>
            <w:tcBorders>
              <w:top w:val="nil"/>
              <w:left w:val="single" w:sz="4" w:space="0" w:color="auto"/>
              <w:bottom w:val="single" w:sz="4" w:space="0" w:color="auto"/>
              <w:right w:val="single" w:sz="4" w:space="0" w:color="auto"/>
            </w:tcBorders>
            <w:shd w:val="clear" w:color="auto" w:fill="auto"/>
            <w:vAlign w:val="center"/>
            <w:hideMark/>
          </w:tcPr>
          <w:p w:rsidR="008645DF" w:rsidRPr="00A77F16" w:rsidRDefault="008645DF" w:rsidP="002C198C">
            <w:pPr>
              <w:ind w:left="0"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Duty cycle (mesure du rapport entre le temps actif et la période totale, en %)</w:t>
            </w:r>
          </w:p>
        </w:tc>
        <w:tc>
          <w:tcPr>
            <w:tcW w:w="5180" w:type="dxa"/>
            <w:tcBorders>
              <w:top w:val="nil"/>
              <w:left w:val="nil"/>
              <w:bottom w:val="single" w:sz="4" w:space="0" w:color="auto"/>
              <w:right w:val="single" w:sz="4" w:space="0" w:color="auto"/>
            </w:tcBorders>
            <w:shd w:val="clear" w:color="auto" w:fill="auto"/>
            <w:vAlign w:val="center"/>
            <w:hideMark/>
          </w:tcPr>
          <w:p w:rsidR="008645DF" w:rsidRPr="00A77F16" w:rsidRDefault="008645DF" w:rsidP="002C198C">
            <w:pPr>
              <w:ind w:left="21" w:firstLine="0"/>
              <w:rPr>
                <w:rFonts w:ascii="Calibri" w:eastAsia="Times New Roman" w:hAnsi="Calibri" w:cs="Calibri"/>
                <w:color w:val="000000"/>
                <w:lang w:eastAsia="fr-FR"/>
              </w:rPr>
            </w:pPr>
            <w:r>
              <w:rPr>
                <w:rFonts w:ascii="Calibri" w:eastAsia="Times New Roman" w:hAnsi="Calibri" w:cs="Calibri"/>
                <w:color w:val="000000"/>
                <w:lang w:eastAsia="fr-FR"/>
              </w:rPr>
              <w:t>Il permet de calculer le temps cumulé d’exposition. Ainsi, par exemple, u</w:t>
            </w:r>
            <w:r>
              <w:t>n duty cycle de 10 % signifie que la source n’émet que pendant 10 % du temps</w:t>
            </w:r>
            <w:r>
              <w:rPr>
                <w:rFonts w:ascii="Calibri" w:eastAsia="Times New Roman" w:hAnsi="Calibri" w:cs="Calibri"/>
                <w:color w:val="000000"/>
                <w:lang w:eastAsia="fr-FR"/>
              </w:rPr>
              <w:t xml:space="preserve">. </w:t>
            </w:r>
            <w:r w:rsidRPr="00A77F16">
              <w:rPr>
                <w:rFonts w:ascii="Calibri" w:eastAsia="Times New Roman" w:hAnsi="Calibri" w:cs="Calibri"/>
                <w:color w:val="000000"/>
                <w:lang w:eastAsia="fr-FR"/>
              </w:rPr>
              <w:t xml:space="preserve">Quelle influence ce </w:t>
            </w:r>
            <w:r>
              <w:rPr>
                <w:rFonts w:ascii="Calibri" w:eastAsia="Times New Roman" w:hAnsi="Calibri" w:cs="Calibri"/>
                <w:color w:val="000000"/>
                <w:lang w:eastAsia="fr-FR"/>
              </w:rPr>
              <w:t>paramètre</w:t>
            </w:r>
            <w:r w:rsidRPr="00A77F16">
              <w:rPr>
                <w:rFonts w:ascii="Calibri" w:eastAsia="Times New Roman" w:hAnsi="Calibri" w:cs="Calibri"/>
                <w:color w:val="000000"/>
                <w:lang w:eastAsia="fr-FR"/>
              </w:rPr>
              <w:t xml:space="preserve"> pourrait-il avoir sur la manière dont les ondes </w:t>
            </w:r>
            <w:r>
              <w:rPr>
                <w:rFonts w:ascii="Calibri" w:eastAsia="Times New Roman" w:hAnsi="Calibri" w:cs="Calibri"/>
                <w:color w:val="000000"/>
                <w:lang w:eastAsia="fr-FR"/>
              </w:rPr>
              <w:t xml:space="preserve">des technologies sans fil </w:t>
            </w:r>
            <w:r w:rsidRPr="00A77F16">
              <w:rPr>
                <w:rFonts w:ascii="Calibri" w:eastAsia="Times New Roman" w:hAnsi="Calibri" w:cs="Calibri"/>
                <w:color w:val="000000"/>
                <w:lang w:eastAsia="fr-FR"/>
              </w:rPr>
              <w:t>interagissent avec les systèmes biologiques ?</w:t>
            </w:r>
          </w:p>
        </w:tc>
      </w:tr>
      <w:tr w:rsidR="008645DF" w:rsidRPr="00A77F16" w:rsidTr="008645DF">
        <w:trPr>
          <w:trHeight w:val="1200"/>
        </w:trPr>
        <w:tc>
          <w:tcPr>
            <w:tcW w:w="4460" w:type="dxa"/>
            <w:tcBorders>
              <w:top w:val="nil"/>
              <w:left w:val="single" w:sz="4" w:space="0" w:color="auto"/>
              <w:bottom w:val="single" w:sz="4" w:space="0" w:color="auto"/>
              <w:right w:val="single" w:sz="4" w:space="0" w:color="auto"/>
            </w:tcBorders>
            <w:shd w:val="clear" w:color="auto" w:fill="auto"/>
            <w:vAlign w:val="center"/>
            <w:hideMark/>
          </w:tcPr>
          <w:p w:rsidR="008645DF" w:rsidRPr="00A77F16" w:rsidRDefault="008645DF" w:rsidP="002C198C">
            <w:pPr>
              <w:ind w:left="0"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Débit binaire (ou Bit rate : nombre de bits / seconde, il mesure la quantité d'information transmise dans le temps)</w:t>
            </w:r>
          </w:p>
        </w:tc>
        <w:tc>
          <w:tcPr>
            <w:tcW w:w="5180" w:type="dxa"/>
            <w:tcBorders>
              <w:top w:val="nil"/>
              <w:left w:val="nil"/>
              <w:bottom w:val="single" w:sz="4" w:space="0" w:color="auto"/>
              <w:right w:val="single" w:sz="4" w:space="0" w:color="auto"/>
            </w:tcBorders>
            <w:shd w:val="clear" w:color="auto" w:fill="auto"/>
            <w:vAlign w:val="center"/>
            <w:hideMark/>
          </w:tcPr>
          <w:p w:rsidR="008645DF" w:rsidRPr="00A77F16" w:rsidRDefault="008645DF" w:rsidP="002C198C">
            <w:pPr>
              <w:ind w:left="21"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Plus il est élevé, plus les variations du signal sont rapides. Quelle influence sur la manière dont les ondes interagissent avec les systèmes biologiques ?</w:t>
            </w:r>
          </w:p>
        </w:tc>
      </w:tr>
      <w:tr w:rsidR="008645DF" w:rsidRPr="00A77F16" w:rsidTr="008645DF">
        <w:trPr>
          <w:trHeight w:val="1200"/>
        </w:trPr>
        <w:tc>
          <w:tcPr>
            <w:tcW w:w="4460" w:type="dxa"/>
            <w:tcBorders>
              <w:top w:val="nil"/>
              <w:left w:val="single" w:sz="4" w:space="0" w:color="auto"/>
              <w:bottom w:val="single" w:sz="4" w:space="0" w:color="auto"/>
              <w:right w:val="single" w:sz="4" w:space="0" w:color="auto"/>
            </w:tcBorders>
            <w:shd w:val="clear" w:color="auto" w:fill="auto"/>
            <w:noWrap/>
            <w:vAlign w:val="center"/>
            <w:hideMark/>
          </w:tcPr>
          <w:p w:rsidR="008645DF" w:rsidRPr="00A77F16" w:rsidRDefault="008645DF" w:rsidP="002C198C">
            <w:pPr>
              <w:ind w:left="0"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 xml:space="preserve"> Puissance moyenne ou crête du signal (PAPR)</w:t>
            </w:r>
          </w:p>
        </w:tc>
        <w:tc>
          <w:tcPr>
            <w:tcW w:w="5180" w:type="dxa"/>
            <w:tcBorders>
              <w:top w:val="nil"/>
              <w:left w:val="nil"/>
              <w:bottom w:val="single" w:sz="4" w:space="0" w:color="auto"/>
              <w:right w:val="single" w:sz="4" w:space="0" w:color="auto"/>
            </w:tcBorders>
            <w:shd w:val="clear" w:color="auto" w:fill="auto"/>
            <w:vAlign w:val="center"/>
            <w:hideMark/>
          </w:tcPr>
          <w:p w:rsidR="008645DF" w:rsidRDefault="008645DF" w:rsidP="002C198C">
            <w:pPr>
              <w:ind w:left="21" w:firstLine="0"/>
              <w:rPr>
                <w:rFonts w:ascii="Calibri" w:eastAsia="Times New Roman" w:hAnsi="Calibri" w:cs="Calibri"/>
                <w:color w:val="000000"/>
                <w:lang w:eastAsia="fr-FR"/>
              </w:rPr>
            </w:pPr>
            <w:r w:rsidRPr="00A77F16">
              <w:rPr>
                <w:rFonts w:ascii="Calibri" w:eastAsia="Times New Roman" w:hAnsi="Calibri" w:cs="Calibri"/>
                <w:color w:val="000000"/>
                <w:lang w:eastAsia="fr-FR"/>
              </w:rPr>
              <w:t>Un PAPR élevé signifie que le signal a des pics de puissance importants par rapport à sa moyenne : quel impact sur les organismes subissant ces pics ?</w:t>
            </w:r>
          </w:p>
          <w:p w:rsidR="002C198C" w:rsidRDefault="002C198C" w:rsidP="002C198C">
            <w:pPr>
              <w:ind w:left="21" w:firstLine="0"/>
              <w:rPr>
                <w:rFonts w:ascii="Calibri" w:eastAsia="Times New Roman" w:hAnsi="Calibri" w:cs="Calibri"/>
                <w:color w:val="000000"/>
                <w:lang w:eastAsia="fr-FR"/>
              </w:rPr>
            </w:pPr>
          </w:p>
          <w:p w:rsidR="002C198C" w:rsidRPr="00A77F16" w:rsidRDefault="002C198C" w:rsidP="002C198C">
            <w:pPr>
              <w:ind w:left="21" w:firstLine="0"/>
              <w:rPr>
                <w:rFonts w:ascii="Calibri" w:eastAsia="Times New Roman" w:hAnsi="Calibri" w:cs="Calibri"/>
                <w:color w:val="000000"/>
                <w:lang w:eastAsia="fr-FR"/>
              </w:rPr>
            </w:pPr>
          </w:p>
        </w:tc>
      </w:tr>
    </w:tbl>
    <w:p w:rsidR="008645DF" w:rsidRDefault="008645DF" w:rsidP="009F3BB0">
      <w:pPr>
        <w:pStyle w:val="Paragraphedeliste"/>
        <w:numPr>
          <w:ilvl w:val="0"/>
          <w:numId w:val="20"/>
        </w:numPr>
        <w:spacing w:before="240" w:after="240" w:line="276" w:lineRule="auto"/>
      </w:pPr>
      <w:r w:rsidRPr="00D466E1">
        <w:rPr>
          <w:rFonts w:ascii="Arial" w:hAnsi="Arial" w:cs="Arial"/>
          <w:sz w:val="20"/>
          <w:szCs w:val="20"/>
          <w:u w:val="single"/>
        </w:rPr>
        <w:lastRenderedPageBreak/>
        <w:t>Tableau comparatif des différents paramètres selon la technologie de télécommunication</w:t>
      </w:r>
      <w:r>
        <w:t> :</w:t>
      </w:r>
    </w:p>
    <w:p w:rsidR="008645DF" w:rsidRDefault="008645DF" w:rsidP="002C198C">
      <w:pPr>
        <w:pStyle w:val="Paragraphedeliste"/>
        <w:spacing w:before="240" w:after="240"/>
      </w:pPr>
    </w:p>
    <w:tbl>
      <w:tblPr>
        <w:tblW w:w="9371" w:type="dxa"/>
        <w:jc w:val="center"/>
        <w:tblInd w:w="55" w:type="dxa"/>
        <w:tblCellMar>
          <w:left w:w="70" w:type="dxa"/>
          <w:right w:w="70" w:type="dxa"/>
        </w:tblCellMar>
        <w:tblLook w:val="04A0"/>
      </w:tblPr>
      <w:tblGrid>
        <w:gridCol w:w="1595"/>
        <w:gridCol w:w="1363"/>
        <w:gridCol w:w="1416"/>
        <w:gridCol w:w="1274"/>
        <w:gridCol w:w="1879"/>
        <w:gridCol w:w="1844"/>
      </w:tblGrid>
      <w:tr w:rsidR="008645DF" w:rsidRPr="00EC6179" w:rsidTr="00334727">
        <w:trPr>
          <w:trHeight w:val="630"/>
          <w:jc w:val="center"/>
        </w:trPr>
        <w:tc>
          <w:tcPr>
            <w:tcW w:w="1596" w:type="dxa"/>
            <w:tcBorders>
              <w:top w:val="single" w:sz="4" w:space="0" w:color="auto"/>
              <w:left w:val="single" w:sz="4" w:space="0" w:color="auto"/>
              <w:bottom w:val="single" w:sz="4" w:space="0" w:color="auto"/>
              <w:right w:val="single" w:sz="4" w:space="0" w:color="auto"/>
            </w:tcBorders>
            <w:shd w:val="clear" w:color="000000" w:fill="CCC0DA"/>
            <w:vAlign w:val="center"/>
            <w:hideMark/>
          </w:tcPr>
          <w:p w:rsidR="008645DF" w:rsidRPr="00EC6179" w:rsidRDefault="008645DF" w:rsidP="00334727">
            <w:pPr>
              <w:spacing w:before="240"/>
              <w:ind w:left="0" w:firstLine="0"/>
              <w:jc w:val="center"/>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Paramètres</w:t>
            </w:r>
          </w:p>
        </w:tc>
        <w:tc>
          <w:tcPr>
            <w:tcW w:w="1350" w:type="dxa"/>
            <w:tcBorders>
              <w:top w:val="single" w:sz="4" w:space="0" w:color="auto"/>
              <w:left w:val="nil"/>
              <w:bottom w:val="single" w:sz="4" w:space="0" w:color="auto"/>
              <w:right w:val="single" w:sz="4" w:space="0" w:color="auto"/>
            </w:tcBorders>
            <w:shd w:val="clear" w:color="000000" w:fill="CCC0DA"/>
            <w:vAlign w:val="center"/>
            <w:hideMark/>
          </w:tcPr>
          <w:p w:rsidR="008645DF" w:rsidRPr="00EC6179" w:rsidRDefault="008645DF" w:rsidP="00334727">
            <w:pPr>
              <w:ind w:left="44" w:firstLine="0"/>
              <w:jc w:val="center"/>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2G (GSM)</w:t>
            </w:r>
          </w:p>
        </w:tc>
        <w:tc>
          <w:tcPr>
            <w:tcW w:w="1417" w:type="dxa"/>
            <w:tcBorders>
              <w:top w:val="single" w:sz="4" w:space="0" w:color="auto"/>
              <w:left w:val="nil"/>
              <w:bottom w:val="single" w:sz="4" w:space="0" w:color="auto"/>
              <w:right w:val="single" w:sz="4" w:space="0" w:color="auto"/>
            </w:tcBorders>
            <w:shd w:val="clear" w:color="000000" w:fill="CCC0DA"/>
            <w:vAlign w:val="center"/>
            <w:hideMark/>
          </w:tcPr>
          <w:p w:rsidR="008645DF" w:rsidRPr="00EC6179" w:rsidRDefault="008645DF" w:rsidP="00334727">
            <w:pPr>
              <w:ind w:left="0" w:hanging="43"/>
              <w:jc w:val="center"/>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3G (UMTS)</w:t>
            </w:r>
          </w:p>
        </w:tc>
        <w:tc>
          <w:tcPr>
            <w:tcW w:w="1275" w:type="dxa"/>
            <w:tcBorders>
              <w:top w:val="single" w:sz="4" w:space="0" w:color="auto"/>
              <w:left w:val="nil"/>
              <w:bottom w:val="single" w:sz="4" w:space="0" w:color="auto"/>
              <w:right w:val="single" w:sz="4" w:space="0" w:color="auto"/>
            </w:tcBorders>
            <w:shd w:val="clear" w:color="000000" w:fill="CCC0DA"/>
            <w:vAlign w:val="center"/>
            <w:hideMark/>
          </w:tcPr>
          <w:p w:rsidR="008645DF" w:rsidRPr="00EC6179" w:rsidRDefault="008645DF" w:rsidP="00334727">
            <w:pPr>
              <w:ind w:left="0" w:firstLine="0"/>
              <w:jc w:val="center"/>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4G (LTE)</w:t>
            </w:r>
          </w:p>
        </w:tc>
        <w:tc>
          <w:tcPr>
            <w:tcW w:w="1884" w:type="dxa"/>
            <w:tcBorders>
              <w:top w:val="single" w:sz="4" w:space="0" w:color="auto"/>
              <w:left w:val="nil"/>
              <w:bottom w:val="single" w:sz="4" w:space="0" w:color="auto"/>
              <w:right w:val="single" w:sz="4" w:space="0" w:color="auto"/>
            </w:tcBorders>
            <w:shd w:val="clear" w:color="000000" w:fill="CCC0DA"/>
            <w:vAlign w:val="center"/>
            <w:hideMark/>
          </w:tcPr>
          <w:p w:rsidR="008645DF" w:rsidRPr="00EC6179" w:rsidRDefault="008645DF" w:rsidP="00334727">
            <w:pPr>
              <w:ind w:left="0" w:firstLine="0"/>
              <w:jc w:val="center"/>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5G (NR)</w:t>
            </w:r>
          </w:p>
        </w:tc>
        <w:tc>
          <w:tcPr>
            <w:tcW w:w="1849" w:type="dxa"/>
            <w:tcBorders>
              <w:top w:val="single" w:sz="4" w:space="0" w:color="auto"/>
              <w:left w:val="nil"/>
              <w:bottom w:val="single" w:sz="4" w:space="0" w:color="auto"/>
              <w:right w:val="single" w:sz="4" w:space="0" w:color="auto"/>
            </w:tcBorders>
            <w:shd w:val="clear" w:color="000000" w:fill="CCC0DA"/>
            <w:vAlign w:val="center"/>
            <w:hideMark/>
          </w:tcPr>
          <w:p w:rsidR="008645DF" w:rsidRPr="00EC6179" w:rsidRDefault="008645DF" w:rsidP="00334727">
            <w:pPr>
              <w:ind w:left="0" w:firstLine="0"/>
              <w:jc w:val="center"/>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Wifi</w:t>
            </w:r>
          </w:p>
        </w:tc>
      </w:tr>
      <w:tr w:rsidR="008645DF" w:rsidRPr="00EC6179" w:rsidTr="00334727">
        <w:trPr>
          <w:trHeight w:val="1575"/>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 xml:space="preserve">Fréquences </w:t>
            </w:r>
          </w:p>
        </w:tc>
        <w:tc>
          <w:tcPr>
            <w:tcW w:w="1350" w:type="dxa"/>
            <w:tcBorders>
              <w:top w:val="nil"/>
              <w:left w:val="nil"/>
              <w:bottom w:val="single" w:sz="4" w:space="0" w:color="auto"/>
              <w:right w:val="single" w:sz="4" w:space="0" w:color="auto"/>
            </w:tcBorders>
            <w:shd w:val="clear" w:color="auto" w:fill="auto"/>
            <w:vAlign w:val="center"/>
            <w:hideMark/>
          </w:tcPr>
          <w:p w:rsidR="002C198C"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900 MHz</w:t>
            </w:r>
          </w:p>
          <w:p w:rsidR="008645DF" w:rsidRPr="00EC6179"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 xml:space="preserve">  </w:t>
            </w:r>
            <w:r w:rsidR="002C198C">
              <w:rPr>
                <w:rFonts w:ascii="Arial" w:eastAsia="Times New Roman" w:hAnsi="Arial" w:cs="Arial"/>
                <w:color w:val="000000"/>
                <w:sz w:val="20"/>
                <w:szCs w:val="20"/>
                <w:lang w:eastAsia="fr-FR"/>
              </w:rPr>
              <w:t xml:space="preserve">                            </w:t>
            </w:r>
            <w:r w:rsidRPr="00EC6179">
              <w:rPr>
                <w:rFonts w:ascii="Arial" w:eastAsia="Times New Roman" w:hAnsi="Arial" w:cs="Arial"/>
                <w:color w:val="000000"/>
                <w:sz w:val="20"/>
                <w:szCs w:val="20"/>
                <w:lang w:eastAsia="fr-FR"/>
              </w:rPr>
              <w:t>1800 MHz</w:t>
            </w:r>
          </w:p>
        </w:tc>
        <w:tc>
          <w:tcPr>
            <w:tcW w:w="1417"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hanging="43"/>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2100 MHz</w:t>
            </w:r>
          </w:p>
        </w:tc>
        <w:tc>
          <w:tcPr>
            <w:tcW w:w="1275" w:type="dxa"/>
            <w:tcBorders>
              <w:top w:val="nil"/>
              <w:left w:val="nil"/>
              <w:bottom w:val="single" w:sz="4" w:space="0" w:color="auto"/>
              <w:right w:val="single" w:sz="4" w:space="0" w:color="auto"/>
            </w:tcBorders>
            <w:shd w:val="clear" w:color="auto" w:fill="auto"/>
            <w:vAlign w:val="center"/>
            <w:hideMark/>
          </w:tcPr>
          <w:p w:rsidR="008645DF" w:rsidRPr="00EC6179" w:rsidRDefault="002C198C" w:rsidP="00334727">
            <w:pPr>
              <w:ind w:left="0" w:firstLine="0"/>
              <w:jc w:val="lef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700 </w:t>
            </w:r>
            <w:r w:rsidR="008645DF" w:rsidRPr="00EC6179">
              <w:rPr>
                <w:rFonts w:ascii="Arial" w:eastAsia="Times New Roman" w:hAnsi="Arial" w:cs="Arial"/>
                <w:color w:val="000000"/>
                <w:sz w:val="20"/>
                <w:szCs w:val="20"/>
                <w:lang w:eastAsia="fr-FR"/>
              </w:rPr>
              <w:t xml:space="preserve">MHz,                   </w:t>
            </w:r>
            <w:r>
              <w:rPr>
                <w:rFonts w:ascii="Arial" w:eastAsia="Times New Roman" w:hAnsi="Arial" w:cs="Arial"/>
                <w:color w:val="000000"/>
                <w:sz w:val="20"/>
                <w:szCs w:val="20"/>
                <w:lang w:eastAsia="fr-FR"/>
              </w:rPr>
              <w:t xml:space="preserve">        800 </w:t>
            </w:r>
            <w:r w:rsidR="008645DF" w:rsidRPr="00EC6179">
              <w:rPr>
                <w:rFonts w:ascii="Arial" w:eastAsia="Times New Roman" w:hAnsi="Arial" w:cs="Arial"/>
                <w:color w:val="000000"/>
                <w:sz w:val="20"/>
                <w:szCs w:val="20"/>
                <w:lang w:eastAsia="fr-FR"/>
              </w:rPr>
              <w:t xml:space="preserve">MHz,                                        </w:t>
            </w:r>
            <w:r>
              <w:rPr>
                <w:rFonts w:ascii="Arial" w:eastAsia="Times New Roman" w:hAnsi="Arial" w:cs="Arial"/>
                <w:color w:val="000000"/>
                <w:sz w:val="20"/>
                <w:szCs w:val="20"/>
                <w:lang w:eastAsia="fr-FR"/>
              </w:rPr>
              <w:t>1800</w:t>
            </w:r>
            <w:r w:rsidR="00334727">
              <w:rPr>
                <w:rFonts w:ascii="Arial" w:eastAsia="Times New Roman" w:hAnsi="Arial" w:cs="Arial"/>
                <w:color w:val="000000"/>
                <w:sz w:val="20"/>
                <w:szCs w:val="20"/>
                <w:lang w:eastAsia="fr-FR"/>
              </w:rPr>
              <w:t xml:space="preserve"> </w:t>
            </w:r>
            <w:r w:rsidR="008645DF" w:rsidRPr="00EC6179">
              <w:rPr>
                <w:rFonts w:ascii="Arial" w:eastAsia="Times New Roman" w:hAnsi="Arial" w:cs="Arial"/>
                <w:color w:val="000000"/>
                <w:sz w:val="20"/>
                <w:szCs w:val="20"/>
                <w:lang w:eastAsia="fr-FR"/>
              </w:rPr>
              <w:t>MHz,                                                 2600 MHz</w:t>
            </w:r>
          </w:p>
        </w:tc>
        <w:tc>
          <w:tcPr>
            <w:tcW w:w="1884" w:type="dxa"/>
            <w:tcBorders>
              <w:top w:val="nil"/>
              <w:left w:val="nil"/>
              <w:bottom w:val="single" w:sz="4" w:space="0" w:color="auto"/>
              <w:right w:val="single" w:sz="4" w:space="0" w:color="auto"/>
            </w:tcBorders>
            <w:shd w:val="clear" w:color="auto" w:fill="auto"/>
            <w:vAlign w:val="center"/>
            <w:hideMark/>
          </w:tcPr>
          <w:p w:rsidR="00334727" w:rsidRDefault="002C198C" w:rsidP="00334727">
            <w:pPr>
              <w:ind w:left="0" w:firstLine="0"/>
              <w:jc w:val="lef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700 </w:t>
            </w:r>
            <w:r w:rsidR="008645DF" w:rsidRPr="00EC6179">
              <w:rPr>
                <w:rFonts w:ascii="Arial" w:eastAsia="Times New Roman" w:hAnsi="Arial" w:cs="Arial"/>
                <w:color w:val="000000"/>
                <w:sz w:val="20"/>
                <w:szCs w:val="20"/>
                <w:lang w:eastAsia="fr-FR"/>
              </w:rPr>
              <w:t xml:space="preserve">MHz,       </w:t>
            </w:r>
            <w:r>
              <w:rPr>
                <w:rFonts w:ascii="Arial" w:eastAsia="Times New Roman" w:hAnsi="Arial" w:cs="Arial"/>
                <w:color w:val="000000"/>
                <w:sz w:val="20"/>
                <w:szCs w:val="20"/>
                <w:lang w:eastAsia="fr-FR"/>
              </w:rPr>
              <w:t xml:space="preserve">                            3.5</w:t>
            </w:r>
            <w:r w:rsidR="00334727">
              <w:rPr>
                <w:rFonts w:ascii="Arial" w:eastAsia="Times New Roman" w:hAnsi="Arial" w:cs="Arial"/>
                <w:color w:val="000000"/>
                <w:sz w:val="20"/>
                <w:szCs w:val="20"/>
                <w:lang w:eastAsia="fr-FR"/>
              </w:rPr>
              <w:t xml:space="preserve"> </w:t>
            </w:r>
            <w:r w:rsidR="008645DF" w:rsidRPr="00EC6179">
              <w:rPr>
                <w:rFonts w:ascii="Arial" w:eastAsia="Times New Roman" w:hAnsi="Arial" w:cs="Arial"/>
                <w:color w:val="000000"/>
                <w:sz w:val="20"/>
                <w:szCs w:val="20"/>
                <w:lang w:eastAsia="fr-FR"/>
              </w:rPr>
              <w:t>GH</w:t>
            </w:r>
            <w:r>
              <w:rPr>
                <w:rFonts w:ascii="Arial" w:eastAsia="Times New Roman" w:hAnsi="Arial" w:cs="Arial"/>
                <w:color w:val="000000"/>
                <w:sz w:val="20"/>
                <w:szCs w:val="20"/>
                <w:lang w:eastAsia="fr-FR"/>
              </w:rPr>
              <w:t xml:space="preserve">z                    (à venir : </w:t>
            </w:r>
          </w:p>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5G</w:t>
            </w:r>
            <w:r w:rsidR="00334727">
              <w:rPr>
                <w:rFonts w:ascii="Arial" w:eastAsia="Times New Roman" w:hAnsi="Arial" w:cs="Arial"/>
                <w:color w:val="000000"/>
                <w:sz w:val="20"/>
                <w:szCs w:val="20"/>
                <w:lang w:eastAsia="fr-FR"/>
              </w:rPr>
              <w:t xml:space="preserve">  </w:t>
            </w:r>
            <w:r w:rsidRPr="00EC6179">
              <w:rPr>
                <w:rFonts w:ascii="Arial" w:eastAsia="Times New Roman" w:hAnsi="Arial" w:cs="Arial"/>
                <w:color w:val="000000"/>
                <w:sz w:val="20"/>
                <w:szCs w:val="20"/>
                <w:lang w:eastAsia="fr-FR"/>
              </w:rPr>
              <w:t>26 GHz)</w:t>
            </w:r>
          </w:p>
        </w:tc>
        <w:tc>
          <w:tcPr>
            <w:tcW w:w="1849" w:type="dxa"/>
            <w:tcBorders>
              <w:top w:val="nil"/>
              <w:left w:val="nil"/>
              <w:bottom w:val="single" w:sz="4" w:space="0" w:color="auto"/>
              <w:right w:val="single" w:sz="4" w:space="0" w:color="auto"/>
            </w:tcBorders>
            <w:shd w:val="clear" w:color="auto" w:fill="auto"/>
            <w:vAlign w:val="center"/>
            <w:hideMark/>
          </w:tcPr>
          <w:p w:rsidR="008645DF"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 xml:space="preserve">2,4 GHz,              </w:t>
            </w:r>
          </w:p>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 xml:space="preserve">5 </w:t>
            </w:r>
            <w:r w:rsidR="00334727">
              <w:rPr>
                <w:rFonts w:ascii="Arial" w:eastAsia="Times New Roman" w:hAnsi="Arial" w:cs="Arial"/>
                <w:color w:val="000000"/>
                <w:sz w:val="20"/>
                <w:szCs w:val="20"/>
                <w:lang w:eastAsia="fr-FR"/>
              </w:rPr>
              <w:t xml:space="preserve">GHz                       </w:t>
            </w:r>
            <w:r w:rsidRPr="00EC6179">
              <w:rPr>
                <w:rFonts w:ascii="Arial" w:eastAsia="Times New Roman" w:hAnsi="Arial" w:cs="Arial"/>
                <w:color w:val="000000"/>
                <w:sz w:val="20"/>
                <w:szCs w:val="20"/>
                <w:lang w:eastAsia="fr-FR"/>
              </w:rPr>
              <w:t>(à venir :  Wi-Fi 6E en 6 GHz)</w:t>
            </w:r>
          </w:p>
        </w:tc>
      </w:tr>
      <w:tr w:rsidR="008645DF" w:rsidRPr="00EC6179" w:rsidTr="00334727">
        <w:trPr>
          <w:trHeight w:val="6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Type de modulation</w:t>
            </w:r>
          </w:p>
        </w:tc>
        <w:tc>
          <w:tcPr>
            <w:tcW w:w="1350" w:type="dxa"/>
            <w:tcBorders>
              <w:top w:val="nil"/>
              <w:left w:val="nil"/>
              <w:bottom w:val="single" w:sz="4" w:space="0" w:color="auto"/>
              <w:right w:val="single" w:sz="4" w:space="0" w:color="auto"/>
            </w:tcBorders>
            <w:shd w:val="clear" w:color="auto" w:fill="auto"/>
            <w:vAlign w:val="center"/>
            <w:hideMark/>
          </w:tcPr>
          <w:p w:rsidR="00334727"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 xml:space="preserve">TDMA </w:t>
            </w:r>
          </w:p>
          <w:p w:rsidR="008645DF" w:rsidRPr="00EC6179"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FDMA</w:t>
            </w:r>
          </w:p>
        </w:tc>
        <w:tc>
          <w:tcPr>
            <w:tcW w:w="1417"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hanging="43"/>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WCDMA</w:t>
            </w:r>
          </w:p>
        </w:tc>
        <w:tc>
          <w:tcPr>
            <w:tcW w:w="1275"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OFDMA</w:t>
            </w:r>
          </w:p>
        </w:tc>
        <w:tc>
          <w:tcPr>
            <w:tcW w:w="1884"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OFDMA</w:t>
            </w:r>
          </w:p>
        </w:tc>
        <w:tc>
          <w:tcPr>
            <w:tcW w:w="1849"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OFDM</w:t>
            </w:r>
          </w:p>
        </w:tc>
      </w:tr>
      <w:tr w:rsidR="008645DF" w:rsidRPr="00EC6179" w:rsidTr="00334727">
        <w:trPr>
          <w:trHeight w:val="6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Onde porteuse</w:t>
            </w:r>
          </w:p>
        </w:tc>
        <w:tc>
          <w:tcPr>
            <w:tcW w:w="1350" w:type="dxa"/>
            <w:tcBorders>
              <w:top w:val="nil"/>
              <w:left w:val="nil"/>
              <w:bottom w:val="single" w:sz="4" w:space="0" w:color="auto"/>
              <w:right w:val="single" w:sz="4" w:space="0" w:color="auto"/>
            </w:tcBorders>
            <w:shd w:val="clear" w:color="auto" w:fill="auto"/>
            <w:vAlign w:val="center"/>
            <w:hideMark/>
          </w:tcPr>
          <w:p w:rsidR="00334727"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 xml:space="preserve">Porteuse </w:t>
            </w:r>
          </w:p>
          <w:p w:rsidR="008645DF" w:rsidRPr="00EC6179" w:rsidRDefault="00334727" w:rsidP="00334727">
            <w:pPr>
              <w:ind w:left="44" w:firstLine="0"/>
              <w:jc w:val="lef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a</w:t>
            </w:r>
            <w:r w:rsidR="008645DF" w:rsidRPr="00EC6179">
              <w:rPr>
                <w:rFonts w:ascii="Arial" w:eastAsia="Times New Roman" w:hAnsi="Arial" w:cs="Arial"/>
                <w:color w:val="000000"/>
                <w:sz w:val="20"/>
                <w:szCs w:val="20"/>
                <w:lang w:eastAsia="fr-FR"/>
              </w:rPr>
              <w:t>nalogique</w:t>
            </w:r>
          </w:p>
        </w:tc>
        <w:tc>
          <w:tcPr>
            <w:tcW w:w="1417" w:type="dxa"/>
            <w:tcBorders>
              <w:top w:val="nil"/>
              <w:left w:val="nil"/>
              <w:bottom w:val="single" w:sz="4" w:space="0" w:color="auto"/>
              <w:right w:val="single" w:sz="4" w:space="0" w:color="auto"/>
            </w:tcBorders>
            <w:shd w:val="clear" w:color="auto" w:fill="auto"/>
            <w:vAlign w:val="center"/>
            <w:hideMark/>
          </w:tcPr>
          <w:p w:rsidR="00334727" w:rsidRDefault="00334727" w:rsidP="00334727">
            <w:pPr>
              <w:ind w:left="0" w:hanging="43"/>
              <w:jc w:val="lef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Porteuse</w:t>
            </w:r>
          </w:p>
          <w:p w:rsidR="008645DF" w:rsidRPr="00EC6179" w:rsidRDefault="008645DF" w:rsidP="00334727">
            <w:pPr>
              <w:ind w:left="0" w:hanging="43"/>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analogique</w:t>
            </w:r>
          </w:p>
        </w:tc>
        <w:tc>
          <w:tcPr>
            <w:tcW w:w="1275" w:type="dxa"/>
            <w:tcBorders>
              <w:top w:val="nil"/>
              <w:left w:val="nil"/>
              <w:bottom w:val="single" w:sz="4" w:space="0" w:color="auto"/>
              <w:right w:val="single" w:sz="4" w:space="0" w:color="auto"/>
            </w:tcBorders>
            <w:shd w:val="clear" w:color="auto" w:fill="auto"/>
            <w:vAlign w:val="center"/>
            <w:hideMark/>
          </w:tcPr>
          <w:p w:rsidR="00334727" w:rsidRDefault="00334727" w:rsidP="00334727">
            <w:pPr>
              <w:ind w:left="0" w:firstLine="0"/>
              <w:jc w:val="lef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Porteuse</w:t>
            </w:r>
          </w:p>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analogique</w:t>
            </w:r>
          </w:p>
        </w:tc>
        <w:tc>
          <w:tcPr>
            <w:tcW w:w="1884" w:type="dxa"/>
            <w:tcBorders>
              <w:top w:val="nil"/>
              <w:left w:val="nil"/>
              <w:bottom w:val="single" w:sz="4" w:space="0" w:color="auto"/>
              <w:right w:val="single" w:sz="4" w:space="0" w:color="auto"/>
            </w:tcBorders>
            <w:shd w:val="clear" w:color="auto" w:fill="auto"/>
            <w:vAlign w:val="center"/>
            <w:hideMark/>
          </w:tcPr>
          <w:p w:rsidR="00334727" w:rsidRDefault="00334727" w:rsidP="00334727">
            <w:pPr>
              <w:ind w:left="0" w:firstLine="0"/>
              <w:jc w:val="lef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Porteuse</w:t>
            </w:r>
          </w:p>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analogique</w:t>
            </w:r>
          </w:p>
        </w:tc>
        <w:tc>
          <w:tcPr>
            <w:tcW w:w="1849" w:type="dxa"/>
            <w:tcBorders>
              <w:top w:val="nil"/>
              <w:left w:val="nil"/>
              <w:bottom w:val="single" w:sz="4" w:space="0" w:color="auto"/>
              <w:right w:val="single" w:sz="4" w:space="0" w:color="auto"/>
            </w:tcBorders>
            <w:shd w:val="clear" w:color="auto" w:fill="auto"/>
            <w:vAlign w:val="center"/>
            <w:hideMark/>
          </w:tcPr>
          <w:p w:rsidR="00334727" w:rsidRDefault="00334727" w:rsidP="00334727">
            <w:pPr>
              <w:ind w:left="0" w:firstLine="0"/>
              <w:jc w:val="lef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Porteuse</w:t>
            </w:r>
          </w:p>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analogique</w:t>
            </w:r>
          </w:p>
        </w:tc>
      </w:tr>
      <w:tr w:rsidR="008645DF" w:rsidRPr="00EC6179" w:rsidTr="00334727">
        <w:trPr>
          <w:trHeight w:val="945"/>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Transmission par paquets</w:t>
            </w:r>
          </w:p>
        </w:tc>
        <w:tc>
          <w:tcPr>
            <w:tcW w:w="1350"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Non (trames continues, TDMA)</w:t>
            </w:r>
          </w:p>
        </w:tc>
        <w:tc>
          <w:tcPr>
            <w:tcW w:w="1417"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hanging="43"/>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Partiellement</w:t>
            </w:r>
          </w:p>
        </w:tc>
        <w:tc>
          <w:tcPr>
            <w:tcW w:w="1275"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 xml:space="preserve">Oui </w:t>
            </w:r>
          </w:p>
        </w:tc>
        <w:tc>
          <w:tcPr>
            <w:tcW w:w="1884"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 xml:space="preserve">Oui </w:t>
            </w:r>
          </w:p>
        </w:tc>
        <w:tc>
          <w:tcPr>
            <w:tcW w:w="1849"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Oui</w:t>
            </w:r>
          </w:p>
        </w:tc>
      </w:tr>
      <w:tr w:rsidR="008645DF" w:rsidRPr="00EC6179" w:rsidTr="00334727">
        <w:trPr>
          <w:trHeight w:val="126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Émission pulsée / continue</w:t>
            </w:r>
          </w:p>
        </w:tc>
        <w:tc>
          <w:tcPr>
            <w:tcW w:w="1350"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Fortement pulsée (217 Hz – typique GSM)</w:t>
            </w:r>
          </w:p>
        </w:tc>
        <w:tc>
          <w:tcPr>
            <w:tcW w:w="1417"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hanging="43"/>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Plus continue</w:t>
            </w:r>
          </w:p>
        </w:tc>
        <w:tc>
          <w:tcPr>
            <w:tcW w:w="1275"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Plus continue</w:t>
            </w:r>
          </w:p>
        </w:tc>
        <w:tc>
          <w:tcPr>
            <w:tcW w:w="1884"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Pulsée                (surtout en TDD</w:t>
            </w:r>
            <w:r>
              <w:rPr>
                <w:rFonts w:ascii="Arial" w:eastAsia="Times New Roman" w:hAnsi="Arial" w:cs="Arial"/>
                <w:color w:val="000000"/>
                <w:sz w:val="20"/>
                <w:szCs w:val="20"/>
                <w:lang w:eastAsia="fr-FR"/>
              </w:rPr>
              <w:t xml:space="preserve">, </w:t>
            </w:r>
            <w:r w:rsidRPr="00EC6179">
              <w:rPr>
                <w:rFonts w:ascii="Arial" w:eastAsia="Times New Roman" w:hAnsi="Arial" w:cs="Arial"/>
                <w:color w:val="000000"/>
                <w:sz w:val="20"/>
                <w:szCs w:val="20"/>
                <w:lang w:eastAsia="fr-FR"/>
              </w:rPr>
              <w:t>)</w:t>
            </w:r>
          </w:p>
        </w:tc>
        <w:tc>
          <w:tcPr>
            <w:tcW w:w="1849"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Pulsée (fortement variable selon le trafic)</w:t>
            </w:r>
          </w:p>
        </w:tc>
      </w:tr>
      <w:tr w:rsidR="008645DF" w:rsidRPr="00EC6179" w:rsidTr="00334727">
        <w:trPr>
          <w:trHeight w:val="945"/>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Duty cycle</w:t>
            </w:r>
          </w:p>
        </w:tc>
        <w:tc>
          <w:tcPr>
            <w:tcW w:w="1350"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Faible (discontinuité marquée)</w:t>
            </w:r>
          </w:p>
        </w:tc>
        <w:tc>
          <w:tcPr>
            <w:tcW w:w="1417"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hanging="43"/>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Élevé</w:t>
            </w:r>
          </w:p>
        </w:tc>
        <w:tc>
          <w:tcPr>
            <w:tcW w:w="1275"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Élevé</w:t>
            </w:r>
          </w:p>
        </w:tc>
        <w:tc>
          <w:tcPr>
            <w:tcW w:w="1884"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Variable selon usage</w:t>
            </w:r>
          </w:p>
        </w:tc>
        <w:tc>
          <w:tcPr>
            <w:tcW w:w="1849"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Variable, très fluctuant</w:t>
            </w:r>
          </w:p>
        </w:tc>
      </w:tr>
      <w:tr w:rsidR="008645DF" w:rsidRPr="00EC6179" w:rsidTr="00334727">
        <w:trPr>
          <w:trHeight w:val="1575"/>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Bande passante</w:t>
            </w:r>
          </w:p>
        </w:tc>
        <w:tc>
          <w:tcPr>
            <w:tcW w:w="1350"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Étroite                       (200 kHz)</w:t>
            </w:r>
          </w:p>
        </w:tc>
        <w:tc>
          <w:tcPr>
            <w:tcW w:w="1417"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hanging="43"/>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Moyenne                    (5 MHz)</w:t>
            </w:r>
          </w:p>
        </w:tc>
        <w:tc>
          <w:tcPr>
            <w:tcW w:w="1275"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Large                 (=&lt; 20 MHz)</w:t>
            </w:r>
          </w:p>
        </w:tc>
        <w:tc>
          <w:tcPr>
            <w:tcW w:w="1884"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Très large (jusqu’à 100 MHz en sub-6, 400 MHz en 26GHz)</w:t>
            </w:r>
          </w:p>
        </w:tc>
        <w:tc>
          <w:tcPr>
            <w:tcW w:w="1849"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20 à 160 MHz selon version</w:t>
            </w:r>
          </w:p>
        </w:tc>
      </w:tr>
      <w:tr w:rsidR="008645DF" w:rsidRPr="00EC6179" w:rsidTr="00334727">
        <w:trPr>
          <w:trHeight w:val="126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Nombre de sous-porteuses possibles</w:t>
            </w:r>
          </w:p>
        </w:tc>
        <w:tc>
          <w:tcPr>
            <w:tcW w:w="1350"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0                           (pas de multiplexage OFDM)</w:t>
            </w:r>
          </w:p>
        </w:tc>
        <w:tc>
          <w:tcPr>
            <w:tcW w:w="1417"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hanging="43"/>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0                           (pas de multiplexage OFDM)</w:t>
            </w:r>
          </w:p>
        </w:tc>
        <w:tc>
          <w:tcPr>
            <w:tcW w:w="1275"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de 72 à 1200</w:t>
            </w:r>
          </w:p>
        </w:tc>
        <w:tc>
          <w:tcPr>
            <w:tcW w:w="1884"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jusqu'à 3300 en sub 6GHz, jusqu'à 6600 en 26 GHz</w:t>
            </w:r>
          </w:p>
        </w:tc>
        <w:tc>
          <w:tcPr>
            <w:tcW w:w="1849"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de 64 à 234</w:t>
            </w:r>
          </w:p>
        </w:tc>
      </w:tr>
      <w:tr w:rsidR="008645DF" w:rsidRPr="00EC6179" w:rsidTr="00334727">
        <w:trPr>
          <w:trHeight w:val="945"/>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Débit typique</w:t>
            </w:r>
          </w:p>
        </w:tc>
        <w:tc>
          <w:tcPr>
            <w:tcW w:w="1350"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kbps</w:t>
            </w:r>
          </w:p>
        </w:tc>
        <w:tc>
          <w:tcPr>
            <w:tcW w:w="1417"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hanging="43"/>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Mbps</w:t>
            </w:r>
          </w:p>
        </w:tc>
        <w:tc>
          <w:tcPr>
            <w:tcW w:w="1275"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100 Mbps - 1 Gbps</w:t>
            </w:r>
          </w:p>
        </w:tc>
        <w:tc>
          <w:tcPr>
            <w:tcW w:w="1884"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100 Mbps - 10+ Gbps</w:t>
            </w:r>
          </w:p>
        </w:tc>
        <w:tc>
          <w:tcPr>
            <w:tcW w:w="1849"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100 Mbps - 9 Gbps selon norme</w:t>
            </w:r>
          </w:p>
        </w:tc>
      </w:tr>
      <w:tr w:rsidR="008645DF" w:rsidRPr="00EC6179" w:rsidTr="00334727">
        <w:trPr>
          <w:trHeight w:val="945"/>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b/>
                <w:bCs/>
                <w:color w:val="000000"/>
                <w:sz w:val="20"/>
                <w:szCs w:val="20"/>
                <w:lang w:eastAsia="fr-FR"/>
              </w:rPr>
            </w:pPr>
            <w:r w:rsidRPr="00EC6179">
              <w:rPr>
                <w:rFonts w:ascii="Arial" w:eastAsia="Times New Roman" w:hAnsi="Arial" w:cs="Arial"/>
                <w:b/>
                <w:bCs/>
                <w:color w:val="000000"/>
                <w:sz w:val="20"/>
                <w:szCs w:val="20"/>
                <w:lang w:eastAsia="fr-FR"/>
              </w:rPr>
              <w:t>Puissance max (théorique)</w:t>
            </w:r>
          </w:p>
        </w:tc>
        <w:tc>
          <w:tcPr>
            <w:tcW w:w="1350"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44"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2 W (mobile)</w:t>
            </w:r>
          </w:p>
        </w:tc>
        <w:tc>
          <w:tcPr>
            <w:tcW w:w="1417"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hanging="43"/>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0.125-2 W</w:t>
            </w:r>
          </w:p>
        </w:tc>
        <w:tc>
          <w:tcPr>
            <w:tcW w:w="1275"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0.2 - 1 W (en pratique)</w:t>
            </w:r>
          </w:p>
        </w:tc>
        <w:tc>
          <w:tcPr>
            <w:tcW w:w="1884"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Variable, plus faible en 26 GHz</w:t>
            </w:r>
          </w:p>
        </w:tc>
        <w:tc>
          <w:tcPr>
            <w:tcW w:w="1849" w:type="dxa"/>
            <w:tcBorders>
              <w:top w:val="nil"/>
              <w:left w:val="nil"/>
              <w:bottom w:val="single" w:sz="4" w:space="0" w:color="auto"/>
              <w:right w:val="single" w:sz="4" w:space="0" w:color="auto"/>
            </w:tcBorders>
            <w:shd w:val="clear" w:color="auto" w:fill="auto"/>
            <w:vAlign w:val="center"/>
            <w:hideMark/>
          </w:tcPr>
          <w:p w:rsidR="008645DF" w:rsidRPr="00EC6179" w:rsidRDefault="008645DF" w:rsidP="00334727">
            <w:pPr>
              <w:ind w:left="0" w:firstLine="0"/>
              <w:jc w:val="left"/>
              <w:rPr>
                <w:rFonts w:ascii="Arial" w:eastAsia="Times New Roman" w:hAnsi="Arial" w:cs="Arial"/>
                <w:color w:val="000000"/>
                <w:sz w:val="20"/>
                <w:szCs w:val="20"/>
                <w:lang w:eastAsia="fr-FR"/>
              </w:rPr>
            </w:pPr>
            <w:r w:rsidRPr="00EC6179">
              <w:rPr>
                <w:rFonts w:ascii="Arial" w:eastAsia="Times New Roman" w:hAnsi="Arial" w:cs="Arial"/>
                <w:color w:val="000000"/>
                <w:sz w:val="20"/>
                <w:szCs w:val="20"/>
                <w:lang w:eastAsia="fr-FR"/>
              </w:rPr>
              <w:t>0.1 W (20-100 mW selon pays)</w:t>
            </w:r>
          </w:p>
        </w:tc>
      </w:tr>
    </w:tbl>
    <w:p w:rsidR="008645DF" w:rsidRDefault="008645DF" w:rsidP="008645DF"/>
    <w:p w:rsidR="008645DF" w:rsidRDefault="008645DF" w:rsidP="008645DF"/>
    <w:p w:rsidR="008645DF" w:rsidRDefault="008645DF" w:rsidP="008645DF">
      <w:r>
        <w:br w:type="page"/>
      </w:r>
    </w:p>
    <w:p w:rsidR="008645DF" w:rsidRDefault="008645DF" w:rsidP="009F3BB0">
      <w:pPr>
        <w:pStyle w:val="Paragraphedeliste"/>
        <w:numPr>
          <w:ilvl w:val="0"/>
          <w:numId w:val="20"/>
        </w:numPr>
        <w:spacing w:after="200" w:line="276" w:lineRule="auto"/>
      </w:pPr>
      <w:r w:rsidRPr="009E4107">
        <w:rPr>
          <w:rFonts w:ascii="Arial" w:hAnsi="Arial" w:cs="Arial"/>
          <w:sz w:val="20"/>
          <w:szCs w:val="20"/>
        </w:rPr>
        <w:lastRenderedPageBreak/>
        <w:t>Mesures de RF faites par un bureau d’expertise en extérieur à Fontenay-sous-Bois (94120), 2006</w:t>
      </w:r>
      <w:r>
        <w:t xml:space="preserve"> : </w:t>
      </w:r>
    </w:p>
    <w:p w:rsidR="008645DF" w:rsidRDefault="00EE1B1E" w:rsidP="00334727">
      <w:pPr>
        <w:ind w:left="0" w:firstLine="0"/>
      </w:pPr>
      <w:r>
        <w:rPr>
          <w:noProof/>
          <w:lang w:eastAsia="fr-FR"/>
        </w:rPr>
        <w:pict>
          <v:shapetype id="_x0000_t32" coordsize="21600,21600" o:spt="32" o:oned="t" path="m,l21600,21600e" filled="f">
            <v:path arrowok="t" fillok="f" o:connecttype="none"/>
            <o:lock v:ext="edit" shapetype="t"/>
          </v:shapetype>
          <v:shape id="_x0000_s1026" type="#_x0000_t32" style="position:absolute;left:0;text-align:left;margin-left:337.45pt;margin-top:466.8pt;width:166.5pt;height:18.75pt;flip:x y;z-index:251658240" o:connectortype="straight" strokecolor="#1f497d [3215]" strokeweight="3pt">
            <v:stroke endarrow="block"/>
            <v:shadow type="perspective" color="#243f60 [1604]" opacity=".5" offset="1pt" offset2="-1pt"/>
          </v:shape>
        </w:pict>
      </w:r>
      <w:r w:rsidR="008645DF">
        <w:rPr>
          <w:noProof/>
          <w:lang w:eastAsia="fr-FR"/>
        </w:rPr>
        <w:drawing>
          <wp:inline distT="0" distB="0" distL="0" distR="0">
            <wp:extent cx="6257925" cy="4772025"/>
            <wp:effectExtent l="19050" t="0" r="9525" b="0"/>
            <wp:docPr id="2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srcRect/>
                    <a:stretch>
                      <a:fillRect/>
                    </a:stretch>
                  </pic:blipFill>
                  <pic:spPr bwMode="auto">
                    <a:xfrm>
                      <a:off x="0" y="0"/>
                      <a:ext cx="6257925" cy="4772025"/>
                    </a:xfrm>
                    <a:prstGeom prst="rect">
                      <a:avLst/>
                    </a:prstGeom>
                    <a:noFill/>
                    <a:ln w="9525">
                      <a:noFill/>
                      <a:miter lim="800000"/>
                      <a:headEnd/>
                      <a:tailEnd/>
                    </a:ln>
                  </pic:spPr>
                </pic:pic>
              </a:graphicData>
            </a:graphic>
          </wp:inline>
        </w:drawing>
      </w:r>
      <w:r w:rsidR="008645DF">
        <w:rPr>
          <w:noProof/>
          <w:lang w:eastAsia="fr-FR"/>
        </w:rPr>
        <w:drawing>
          <wp:inline distT="0" distB="0" distL="0" distR="0">
            <wp:extent cx="6257925" cy="4067175"/>
            <wp:effectExtent l="19050" t="0" r="9525" b="0"/>
            <wp:docPr id="2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srcRect/>
                    <a:stretch>
                      <a:fillRect/>
                    </a:stretch>
                  </pic:blipFill>
                  <pic:spPr bwMode="auto">
                    <a:xfrm>
                      <a:off x="0" y="0"/>
                      <a:ext cx="6257925" cy="4067175"/>
                    </a:xfrm>
                    <a:prstGeom prst="rect">
                      <a:avLst/>
                    </a:prstGeom>
                    <a:noFill/>
                    <a:ln w="9525">
                      <a:noFill/>
                      <a:miter lim="800000"/>
                      <a:headEnd/>
                      <a:tailEnd/>
                    </a:ln>
                  </pic:spPr>
                </pic:pic>
              </a:graphicData>
            </a:graphic>
          </wp:inline>
        </w:drawing>
      </w:r>
    </w:p>
    <w:p w:rsidR="008645DF" w:rsidRPr="009E4107" w:rsidRDefault="008645DF" w:rsidP="009F3BB0">
      <w:pPr>
        <w:pStyle w:val="Paragraphedeliste"/>
        <w:numPr>
          <w:ilvl w:val="0"/>
          <w:numId w:val="20"/>
        </w:numPr>
        <w:spacing w:after="200" w:line="276" w:lineRule="auto"/>
        <w:rPr>
          <w:rFonts w:ascii="Arial" w:hAnsi="Arial" w:cs="Arial"/>
          <w:sz w:val="20"/>
          <w:szCs w:val="20"/>
        </w:rPr>
      </w:pPr>
      <w:r w:rsidRPr="009E4107">
        <w:rPr>
          <w:rFonts w:ascii="Arial" w:hAnsi="Arial" w:cs="Arial"/>
          <w:sz w:val="20"/>
          <w:szCs w:val="20"/>
          <w:u w:val="single"/>
        </w:rPr>
        <w:lastRenderedPageBreak/>
        <w:t>Des foyers hautement équipés en technologies sans fil</w:t>
      </w:r>
      <w:r w:rsidRPr="009E4107">
        <w:rPr>
          <w:rFonts w:ascii="Arial" w:hAnsi="Arial" w:cs="Arial"/>
          <w:sz w:val="20"/>
          <w:szCs w:val="20"/>
        </w:rPr>
        <w:t> :</w:t>
      </w:r>
    </w:p>
    <w:p w:rsidR="008645DF" w:rsidRDefault="008645DF" w:rsidP="008645DF">
      <w:pPr>
        <w:pStyle w:val="Paragraphedeliste"/>
      </w:pPr>
    </w:p>
    <w:p w:rsidR="008645DF" w:rsidRDefault="008645DF" w:rsidP="00334727">
      <w:pPr>
        <w:pStyle w:val="Paragraphedeliste"/>
        <w:ind w:left="-426" w:firstLine="0"/>
      </w:pPr>
      <w:r>
        <w:rPr>
          <w:noProof/>
          <w:lang w:eastAsia="fr-FR"/>
        </w:rPr>
        <w:drawing>
          <wp:inline distT="0" distB="0" distL="0" distR="0">
            <wp:extent cx="6960374" cy="3895725"/>
            <wp:effectExtent l="19050" t="0" r="0" b="0"/>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6967987" cy="3899986"/>
                    </a:xfrm>
                    <a:prstGeom prst="rect">
                      <a:avLst/>
                    </a:prstGeom>
                    <a:noFill/>
                    <a:ln w="9525">
                      <a:noFill/>
                      <a:miter lim="800000"/>
                      <a:headEnd/>
                      <a:tailEnd/>
                    </a:ln>
                  </pic:spPr>
                </pic:pic>
              </a:graphicData>
            </a:graphic>
          </wp:inline>
        </w:drawing>
      </w:r>
    </w:p>
    <w:p w:rsidR="008645DF" w:rsidRDefault="008645DF" w:rsidP="008645DF">
      <w:pPr>
        <w:pStyle w:val="Paragraphedeliste"/>
        <w:ind w:left="-567"/>
      </w:pPr>
    </w:p>
    <w:p w:rsidR="008645DF" w:rsidRPr="009E4107" w:rsidRDefault="008645DF" w:rsidP="00130109">
      <w:pPr>
        <w:pStyle w:val="Paragraphedeliste"/>
        <w:ind w:left="0" w:firstLine="0"/>
        <w:rPr>
          <w:rFonts w:ascii="Arial" w:hAnsi="Arial" w:cs="Arial"/>
          <w:sz w:val="20"/>
          <w:szCs w:val="20"/>
        </w:rPr>
      </w:pPr>
      <w:r w:rsidRPr="009E4107">
        <w:rPr>
          <w:rFonts w:ascii="Arial" w:hAnsi="Arial" w:cs="Arial"/>
          <w:sz w:val="20"/>
          <w:szCs w:val="20"/>
        </w:rPr>
        <w:t>Source : enquête Parents, Enfants &amp; Numérique 2024, Ipsos pour l’Observatoire de la Parentalité et de l’Education Numérique</w:t>
      </w:r>
    </w:p>
    <w:p w:rsidR="008645DF" w:rsidRDefault="008645DF" w:rsidP="008645DF">
      <w:pPr>
        <w:pStyle w:val="Paragraphedeliste"/>
        <w:ind w:left="360"/>
        <w:rPr>
          <w:rFonts w:ascii="Arial" w:hAnsi="Arial" w:cs="Arial"/>
          <w:sz w:val="20"/>
          <w:szCs w:val="20"/>
        </w:rPr>
      </w:pPr>
    </w:p>
    <w:p w:rsidR="008645DF" w:rsidRDefault="008645DF" w:rsidP="008645DF">
      <w:pPr>
        <w:pStyle w:val="Paragraphedeliste"/>
        <w:ind w:left="-567"/>
        <w:rPr>
          <w:rFonts w:ascii="Arial" w:hAnsi="Arial" w:cs="Arial"/>
          <w:sz w:val="20"/>
          <w:szCs w:val="20"/>
        </w:rPr>
      </w:pPr>
    </w:p>
    <w:p w:rsidR="00130109" w:rsidRPr="00130109" w:rsidRDefault="008645DF" w:rsidP="009F3BB0">
      <w:pPr>
        <w:pStyle w:val="Paragraphedeliste"/>
        <w:numPr>
          <w:ilvl w:val="0"/>
          <w:numId w:val="20"/>
        </w:numPr>
        <w:spacing w:after="200"/>
        <w:ind w:left="284"/>
      </w:pPr>
      <w:r w:rsidRPr="00130109">
        <w:rPr>
          <w:rFonts w:ascii="Arial" w:hAnsi="Arial" w:cs="Arial"/>
          <w:sz w:val="20"/>
          <w:szCs w:val="20"/>
          <w:u w:val="single"/>
        </w:rPr>
        <w:t>Evolution des points atypiques en France depuis 2017</w:t>
      </w:r>
      <w:r w:rsidRPr="00130109">
        <w:rPr>
          <w:rFonts w:ascii="Arial" w:hAnsi="Arial" w:cs="Arial"/>
          <w:sz w:val="20"/>
          <w:szCs w:val="20"/>
        </w:rPr>
        <w:t>, année de la mise en place de leur recensement annuel par l’ANFR (tableau et graphe établis à partir des données ANFR) :</w:t>
      </w:r>
    </w:p>
    <w:p w:rsidR="00130109" w:rsidRDefault="00130109" w:rsidP="00130109">
      <w:pPr>
        <w:pStyle w:val="Paragraphedeliste"/>
        <w:spacing w:before="240" w:after="200"/>
        <w:ind w:left="284" w:firstLine="0"/>
      </w:pPr>
    </w:p>
    <w:p w:rsidR="008645DF" w:rsidRDefault="008645DF" w:rsidP="00130109">
      <w:pPr>
        <w:pStyle w:val="Paragraphedeliste"/>
        <w:spacing w:before="240" w:after="200"/>
        <w:ind w:left="284" w:firstLine="0"/>
      </w:pPr>
      <w:r>
        <w:rPr>
          <w:noProof/>
          <w:lang w:eastAsia="fr-FR"/>
        </w:rPr>
        <w:drawing>
          <wp:inline distT="0" distB="0" distL="0" distR="0">
            <wp:extent cx="6124575" cy="2352675"/>
            <wp:effectExtent l="19050" t="0" r="9525" b="0"/>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6124575" cy="2352675"/>
                    </a:xfrm>
                    <a:prstGeom prst="rect">
                      <a:avLst/>
                    </a:prstGeom>
                    <a:noFill/>
                    <a:ln w="9525">
                      <a:noFill/>
                      <a:miter lim="800000"/>
                      <a:headEnd/>
                      <a:tailEnd/>
                    </a:ln>
                  </pic:spPr>
                </pic:pic>
              </a:graphicData>
            </a:graphic>
          </wp:inline>
        </w:drawing>
      </w:r>
    </w:p>
    <w:p w:rsidR="008645DF" w:rsidRDefault="008645DF" w:rsidP="00130109">
      <w:pPr>
        <w:ind w:left="0" w:firstLine="0"/>
        <w:rPr>
          <w:rFonts w:ascii="Arial" w:hAnsi="Arial" w:cs="Arial"/>
          <w:sz w:val="20"/>
          <w:szCs w:val="20"/>
        </w:rPr>
      </w:pPr>
      <w:r w:rsidRPr="009E4107">
        <w:rPr>
          <w:rFonts w:ascii="Arial" w:hAnsi="Arial" w:cs="Arial"/>
          <w:sz w:val="20"/>
          <w:szCs w:val="20"/>
        </w:rPr>
        <w:t xml:space="preserve">En nette augmentation, ces données recueillies sur un nombre infime </w:t>
      </w:r>
      <w:r>
        <w:rPr>
          <w:rFonts w:ascii="Arial" w:hAnsi="Arial" w:cs="Arial"/>
          <w:sz w:val="20"/>
          <w:szCs w:val="20"/>
        </w:rPr>
        <w:t xml:space="preserve">de sites </w:t>
      </w:r>
      <w:r w:rsidRPr="009E4107">
        <w:rPr>
          <w:rFonts w:ascii="Arial" w:hAnsi="Arial" w:cs="Arial"/>
          <w:sz w:val="20"/>
          <w:szCs w:val="20"/>
        </w:rPr>
        <w:t>au regard des 38 millions de logements en France ne sont que la partie émergée de l’iceberg.</w:t>
      </w:r>
      <w:r>
        <w:rPr>
          <w:rFonts w:ascii="Arial" w:hAnsi="Arial" w:cs="Arial"/>
          <w:sz w:val="20"/>
          <w:szCs w:val="20"/>
        </w:rPr>
        <w:t xml:space="preserve"> </w:t>
      </w:r>
      <w:r w:rsidRPr="009E4107">
        <w:rPr>
          <w:rFonts w:ascii="Arial" w:hAnsi="Arial" w:cs="Arial"/>
          <w:sz w:val="20"/>
          <w:szCs w:val="20"/>
        </w:rPr>
        <w:t>« </w:t>
      </w:r>
      <w:r w:rsidRPr="009E4107">
        <w:rPr>
          <w:rFonts w:ascii="Arial" w:hAnsi="Arial" w:cs="Arial"/>
          <w:i/>
          <w:sz w:val="20"/>
          <w:szCs w:val="20"/>
        </w:rPr>
        <w:t>Un dossier de point atypique est clos par l’Agence soit lorsque le point est résorbé et vérifié (mesure de contrôle constatant un niveau inférieur à 6 V/m), soit lorsque l’exploitant justifie un maintien en l’état, soit enfin lorsque la mesure de contrôle est impossible à réaliser. L’ANFR considère un dossier comme résolu lorsqu’un dossier est clos par sa résorption ou que son contrôle est devenu impossible </w:t>
      </w:r>
      <w:r>
        <w:rPr>
          <w:rFonts w:ascii="Arial" w:hAnsi="Arial" w:cs="Arial"/>
          <w:sz w:val="20"/>
          <w:szCs w:val="20"/>
        </w:rPr>
        <w:t>» (ANFR)</w:t>
      </w:r>
    </w:p>
    <w:p w:rsidR="00334727" w:rsidRDefault="00334727" w:rsidP="008645DF">
      <w:pPr>
        <w:rPr>
          <w:rFonts w:ascii="Arial" w:hAnsi="Arial" w:cs="Arial"/>
          <w:sz w:val="20"/>
          <w:szCs w:val="20"/>
        </w:rPr>
      </w:pPr>
    </w:p>
    <w:p w:rsidR="00334727" w:rsidRPr="009E4107" w:rsidRDefault="00334727" w:rsidP="008645DF">
      <w:pPr>
        <w:rPr>
          <w:rFonts w:ascii="Arial" w:hAnsi="Arial" w:cs="Arial"/>
          <w:sz w:val="20"/>
          <w:szCs w:val="20"/>
        </w:rPr>
      </w:pPr>
    </w:p>
    <w:p w:rsidR="008645DF" w:rsidRDefault="00410966" w:rsidP="009F3BB0">
      <w:pPr>
        <w:pStyle w:val="Paragraphedeliste"/>
        <w:numPr>
          <w:ilvl w:val="0"/>
          <w:numId w:val="20"/>
        </w:numPr>
        <w:spacing w:after="200"/>
        <w:rPr>
          <w:rFonts w:ascii="Arial" w:hAnsi="Arial" w:cs="Arial"/>
          <w:sz w:val="20"/>
          <w:szCs w:val="20"/>
          <w:u w:val="single"/>
        </w:rPr>
      </w:pPr>
      <w:r>
        <w:rPr>
          <w:rFonts w:ascii="Arial" w:hAnsi="Arial" w:cs="Arial"/>
          <w:sz w:val="20"/>
          <w:szCs w:val="20"/>
          <w:u w:val="single"/>
        </w:rPr>
        <w:lastRenderedPageBreak/>
        <w:t>Caractère invasif des hyper</w:t>
      </w:r>
      <w:r w:rsidR="008645DF" w:rsidRPr="009E4107">
        <w:rPr>
          <w:rFonts w:ascii="Arial" w:hAnsi="Arial" w:cs="Arial"/>
          <w:sz w:val="20"/>
          <w:szCs w:val="20"/>
          <w:u w:val="single"/>
        </w:rPr>
        <w:t>fréquences</w:t>
      </w:r>
      <w:r w:rsidR="008645DF" w:rsidRPr="009E4107">
        <w:rPr>
          <w:rFonts w:ascii="Arial" w:hAnsi="Arial" w:cs="Arial"/>
          <w:sz w:val="20"/>
          <w:szCs w:val="20"/>
        </w:rPr>
        <w:t> :</w:t>
      </w:r>
      <w:r w:rsidR="008645DF" w:rsidRPr="009E4107">
        <w:rPr>
          <w:rFonts w:ascii="Arial" w:hAnsi="Arial" w:cs="Arial"/>
          <w:sz w:val="20"/>
          <w:szCs w:val="20"/>
          <w:u w:val="single"/>
        </w:rPr>
        <w:t xml:space="preserve"> </w:t>
      </w:r>
    </w:p>
    <w:p w:rsidR="008645DF" w:rsidRPr="009E4107" w:rsidRDefault="008645DF" w:rsidP="00130109">
      <w:pPr>
        <w:pStyle w:val="Paragraphedeliste"/>
        <w:ind w:left="0" w:firstLine="11"/>
        <w:rPr>
          <w:rFonts w:ascii="Arial" w:hAnsi="Arial" w:cs="Arial"/>
          <w:sz w:val="20"/>
          <w:szCs w:val="20"/>
          <w:u w:val="single"/>
        </w:rPr>
      </w:pPr>
    </w:p>
    <w:p w:rsidR="008645DF" w:rsidRDefault="008645DF" w:rsidP="00130109">
      <w:pPr>
        <w:ind w:left="0" w:firstLine="11"/>
        <w:rPr>
          <w:rFonts w:ascii="Arial" w:hAnsi="Arial" w:cs="Arial"/>
          <w:sz w:val="20"/>
          <w:szCs w:val="20"/>
        </w:rPr>
      </w:pPr>
      <w:r>
        <w:rPr>
          <w:rFonts w:ascii="Arial" w:hAnsi="Arial" w:cs="Arial"/>
          <w:sz w:val="20"/>
          <w:szCs w:val="20"/>
        </w:rPr>
        <w:t>C</w:t>
      </w:r>
      <w:r w:rsidRPr="009E4107">
        <w:rPr>
          <w:rFonts w:ascii="Arial" w:hAnsi="Arial" w:cs="Arial"/>
          <w:sz w:val="20"/>
          <w:szCs w:val="20"/>
        </w:rPr>
        <w:t>i-dessous</w:t>
      </w:r>
      <w:r>
        <w:rPr>
          <w:rFonts w:ascii="Arial" w:hAnsi="Arial" w:cs="Arial"/>
          <w:sz w:val="20"/>
          <w:szCs w:val="20"/>
        </w:rPr>
        <w:t>,</w:t>
      </w:r>
      <w:r w:rsidRPr="009E4107">
        <w:rPr>
          <w:rFonts w:ascii="Arial" w:hAnsi="Arial" w:cs="Arial"/>
          <w:sz w:val="20"/>
          <w:szCs w:val="20"/>
        </w:rPr>
        <w:t xml:space="preserve"> un récapitulatif de la portée des principales sources de champs électromagnétiques. Plus la fréquence est élevée, plus l’onde est courte et moins elle porte loin. L’expression « Champ libre »  signifie sans obstacle. </w:t>
      </w:r>
    </w:p>
    <w:p w:rsidR="008645DF" w:rsidRPr="009E4107" w:rsidRDefault="008645DF" w:rsidP="00130109">
      <w:pPr>
        <w:ind w:left="0" w:firstLine="11"/>
        <w:rPr>
          <w:rFonts w:ascii="Arial" w:hAnsi="Arial" w:cs="Arial"/>
          <w:sz w:val="20"/>
          <w:szCs w:val="20"/>
        </w:rPr>
      </w:pPr>
    </w:p>
    <w:p w:rsidR="008645DF" w:rsidRDefault="008645DF" w:rsidP="00130109">
      <w:pPr>
        <w:pStyle w:val="Paragraphedeliste"/>
        <w:ind w:left="0" w:firstLine="11"/>
        <w:rPr>
          <w:rFonts w:ascii="Arial" w:hAnsi="Arial" w:cs="Arial"/>
          <w:sz w:val="20"/>
          <w:szCs w:val="20"/>
        </w:rPr>
      </w:pPr>
      <w:r w:rsidRPr="009E4107">
        <w:rPr>
          <w:rFonts w:ascii="Arial" w:hAnsi="Arial" w:cs="Arial"/>
          <w:sz w:val="20"/>
          <w:szCs w:val="20"/>
        </w:rPr>
        <w:t>A noter : les prochaines évolutions technologiques, en rouge, d’une fréquence supérieure à la génération précédente, auront une portée moindre et nécessiteront donc plus d’antennes-relais et de répéteurs.</w:t>
      </w:r>
    </w:p>
    <w:p w:rsidR="008645DF" w:rsidRDefault="008645DF" w:rsidP="00130109">
      <w:pPr>
        <w:pStyle w:val="Paragraphedeliste"/>
        <w:ind w:left="0" w:firstLine="11"/>
        <w:rPr>
          <w:rFonts w:ascii="Arial" w:hAnsi="Arial" w:cs="Arial"/>
          <w:sz w:val="20"/>
          <w:szCs w:val="20"/>
        </w:rPr>
      </w:pPr>
    </w:p>
    <w:p w:rsidR="008645DF" w:rsidRDefault="008645DF" w:rsidP="008645DF">
      <w:pPr>
        <w:pStyle w:val="Paragraphedeliste"/>
        <w:ind w:left="0"/>
        <w:rPr>
          <w:rFonts w:ascii="Arial" w:hAnsi="Arial" w:cs="Arial"/>
          <w:sz w:val="20"/>
          <w:szCs w:val="20"/>
        </w:rPr>
      </w:pPr>
    </w:p>
    <w:p w:rsidR="008645DF" w:rsidRPr="009E4107" w:rsidRDefault="008645DF" w:rsidP="008645DF">
      <w:pPr>
        <w:pStyle w:val="Paragraphedeliste"/>
        <w:ind w:left="0"/>
        <w:rPr>
          <w:rFonts w:ascii="Arial" w:hAnsi="Arial" w:cs="Arial"/>
          <w:sz w:val="20"/>
          <w:szCs w:val="20"/>
        </w:rPr>
      </w:pPr>
    </w:p>
    <w:tbl>
      <w:tblPr>
        <w:tblW w:w="10348" w:type="dxa"/>
        <w:tblInd w:w="-72" w:type="dxa"/>
        <w:tblCellMar>
          <w:left w:w="70" w:type="dxa"/>
          <w:right w:w="70" w:type="dxa"/>
        </w:tblCellMar>
        <w:tblLook w:val="04A0"/>
      </w:tblPr>
      <w:tblGrid>
        <w:gridCol w:w="1418"/>
        <w:gridCol w:w="3686"/>
        <w:gridCol w:w="2693"/>
        <w:gridCol w:w="2551"/>
      </w:tblGrid>
      <w:tr w:rsidR="008645DF" w:rsidRPr="00EE575B" w:rsidTr="008645DF">
        <w:trPr>
          <w:trHeight w:val="705"/>
        </w:trPr>
        <w:tc>
          <w:tcPr>
            <w:tcW w:w="1418" w:type="dxa"/>
            <w:tcBorders>
              <w:top w:val="single" w:sz="4" w:space="0" w:color="auto"/>
              <w:left w:val="single" w:sz="4" w:space="0" w:color="auto"/>
              <w:bottom w:val="single" w:sz="4" w:space="0" w:color="auto"/>
              <w:right w:val="single" w:sz="4" w:space="0" w:color="auto"/>
            </w:tcBorders>
            <w:shd w:val="clear" w:color="000000" w:fill="FDE9D9"/>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Technologie</w:t>
            </w:r>
          </w:p>
        </w:tc>
        <w:tc>
          <w:tcPr>
            <w:tcW w:w="3686" w:type="dxa"/>
            <w:tcBorders>
              <w:top w:val="single" w:sz="4" w:space="0" w:color="auto"/>
              <w:left w:val="nil"/>
              <w:bottom w:val="single" w:sz="4" w:space="0" w:color="auto"/>
              <w:right w:val="single" w:sz="4" w:space="0" w:color="auto"/>
            </w:tcBorders>
            <w:shd w:val="clear" w:color="000000" w:fill="FDE9D9"/>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Fréquence</w:t>
            </w:r>
          </w:p>
        </w:tc>
        <w:tc>
          <w:tcPr>
            <w:tcW w:w="2693" w:type="dxa"/>
            <w:tcBorders>
              <w:top w:val="single" w:sz="4" w:space="0" w:color="auto"/>
              <w:left w:val="nil"/>
              <w:bottom w:val="single" w:sz="4" w:space="0" w:color="auto"/>
              <w:right w:val="single" w:sz="4" w:space="0" w:color="auto"/>
            </w:tcBorders>
            <w:shd w:val="clear" w:color="000000" w:fill="FDE9D9"/>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Portée théorique maximale (en champ libre)</w:t>
            </w:r>
          </w:p>
        </w:tc>
        <w:tc>
          <w:tcPr>
            <w:tcW w:w="2551" w:type="dxa"/>
            <w:tcBorders>
              <w:top w:val="single" w:sz="4" w:space="0" w:color="auto"/>
              <w:left w:val="nil"/>
              <w:bottom w:val="single" w:sz="4" w:space="0" w:color="auto"/>
              <w:right w:val="single" w:sz="4" w:space="0" w:color="auto"/>
            </w:tcBorders>
            <w:shd w:val="clear" w:color="000000" w:fill="FDE9D9"/>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Portée avec murs                             (en zone urbaine dense)</w:t>
            </w:r>
          </w:p>
        </w:tc>
      </w:tr>
      <w:tr w:rsidR="008645DF" w:rsidRPr="00EE575B" w:rsidTr="008645DF">
        <w:trPr>
          <w:trHeight w:val="6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2G</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900 MHz, 1800 MHz</w:t>
            </w:r>
          </w:p>
        </w:tc>
        <w:tc>
          <w:tcPr>
            <w:tcW w:w="2693" w:type="dxa"/>
            <w:tcBorders>
              <w:top w:val="nil"/>
              <w:left w:val="nil"/>
              <w:bottom w:val="single" w:sz="4" w:space="0" w:color="auto"/>
              <w:right w:val="single" w:sz="4" w:space="0" w:color="auto"/>
            </w:tcBorders>
            <w:shd w:val="clear" w:color="auto" w:fill="auto"/>
            <w:vAlign w:val="bottom"/>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35 km</w:t>
            </w: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 xml:space="preserve">Jusqu'à 10 km </w:t>
            </w:r>
            <w:r w:rsidR="00410966">
              <w:rPr>
                <w:rFonts w:ascii="Calibri" w:eastAsia="Times New Roman" w:hAnsi="Calibri" w:cs="Calibri"/>
                <w:color w:val="000000"/>
                <w:lang w:eastAsia="fr-FR"/>
              </w:rPr>
              <w:t xml:space="preserve">                              </w:t>
            </w:r>
            <w:r w:rsidRPr="00EE575B">
              <w:rPr>
                <w:rFonts w:ascii="Calibri" w:eastAsia="Times New Roman" w:hAnsi="Calibri" w:cs="Calibri"/>
                <w:color w:val="000000"/>
                <w:lang w:eastAsia="fr-FR"/>
              </w:rPr>
              <w:t>(2,5 km)</w:t>
            </w:r>
          </w:p>
        </w:tc>
      </w:tr>
      <w:tr w:rsidR="008645DF" w:rsidRPr="00EE575B" w:rsidTr="008645DF">
        <w:trPr>
          <w:trHeight w:val="6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3G</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900 MHz, 2100 MHz</w:t>
            </w:r>
          </w:p>
        </w:tc>
        <w:tc>
          <w:tcPr>
            <w:tcW w:w="2693" w:type="dxa"/>
            <w:tcBorders>
              <w:top w:val="nil"/>
              <w:left w:val="nil"/>
              <w:bottom w:val="single" w:sz="4" w:space="0" w:color="auto"/>
              <w:right w:val="single" w:sz="4" w:space="0" w:color="auto"/>
            </w:tcBorders>
            <w:shd w:val="clear" w:color="auto" w:fill="auto"/>
            <w:vAlign w:val="bottom"/>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Environ 2 à 10 km</w:t>
            </w: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3 km                            (750 m)</w:t>
            </w:r>
          </w:p>
        </w:tc>
      </w:tr>
      <w:tr w:rsidR="008645DF" w:rsidRPr="00EE575B" w:rsidTr="008645DF">
        <w:trPr>
          <w:trHeight w:val="6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4G</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800 MHz à 2600 MHz</w:t>
            </w:r>
          </w:p>
        </w:tc>
        <w:tc>
          <w:tcPr>
            <w:tcW w:w="2693" w:type="dxa"/>
            <w:tcBorders>
              <w:top w:val="nil"/>
              <w:left w:val="nil"/>
              <w:bottom w:val="single" w:sz="4" w:space="0" w:color="auto"/>
              <w:right w:val="single" w:sz="4" w:space="0" w:color="auto"/>
            </w:tcBorders>
            <w:shd w:val="clear" w:color="auto" w:fill="auto"/>
            <w:vAlign w:val="bottom"/>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Environ 2 à 5 km                                      (15 km en zone rurale)</w:t>
            </w:r>
          </w:p>
        </w:tc>
        <w:tc>
          <w:tcPr>
            <w:tcW w:w="2551" w:type="dxa"/>
            <w:tcBorders>
              <w:top w:val="nil"/>
              <w:left w:val="nil"/>
              <w:bottom w:val="single" w:sz="4" w:space="0" w:color="auto"/>
              <w:right w:val="single" w:sz="4" w:space="0" w:color="auto"/>
            </w:tcBorders>
            <w:shd w:val="clear" w:color="auto" w:fill="auto"/>
            <w:vAlign w:val="center"/>
            <w:hideMark/>
          </w:tcPr>
          <w:p w:rsidR="00410966" w:rsidRDefault="00410966" w:rsidP="008645DF">
            <w:pPr>
              <w:jc w:val="center"/>
              <w:rPr>
                <w:rFonts w:ascii="Calibri" w:eastAsia="Times New Roman" w:hAnsi="Calibri" w:cs="Calibri"/>
                <w:color w:val="000000"/>
                <w:lang w:eastAsia="fr-FR"/>
              </w:rPr>
            </w:pPr>
            <w:r>
              <w:rPr>
                <w:rFonts w:ascii="Calibri" w:eastAsia="Times New Roman" w:hAnsi="Calibri" w:cs="Calibri"/>
                <w:color w:val="000000"/>
                <w:lang w:eastAsia="fr-FR"/>
              </w:rPr>
              <w:t>Jusqu'à 5 km en zone</w:t>
            </w:r>
          </w:p>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rurale (1250 m)</w:t>
            </w:r>
          </w:p>
        </w:tc>
      </w:tr>
      <w:tr w:rsidR="008645DF" w:rsidRPr="00EE575B" w:rsidTr="008645DF">
        <w:trPr>
          <w:trHeight w:val="300"/>
        </w:trPr>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5G</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 </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100 m à 10 km                                     selon la bande</w:t>
            </w: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 </w:t>
            </w:r>
          </w:p>
        </w:tc>
      </w:tr>
      <w:tr w:rsidR="008645DF" w:rsidRPr="00EE575B" w:rsidTr="008645DF">
        <w:trPr>
          <w:trHeight w:val="300"/>
        </w:trPr>
        <w:tc>
          <w:tcPr>
            <w:tcW w:w="1418" w:type="dxa"/>
            <w:vMerge/>
            <w:tcBorders>
              <w:top w:val="nil"/>
              <w:left w:val="single" w:sz="4" w:space="0" w:color="auto"/>
              <w:bottom w:val="single" w:sz="4" w:space="0" w:color="auto"/>
              <w:right w:val="single" w:sz="4" w:space="0" w:color="auto"/>
            </w:tcBorders>
            <w:vAlign w:val="center"/>
            <w:hideMark/>
          </w:tcPr>
          <w:p w:rsidR="008645DF" w:rsidRPr="00EE575B" w:rsidRDefault="008645DF" w:rsidP="008645DF">
            <w:pPr>
              <w:rPr>
                <w:rFonts w:ascii="Calibri" w:eastAsia="Times New Roman" w:hAnsi="Calibri" w:cs="Calibri"/>
                <w:b/>
                <w:bCs/>
                <w:color w:val="000000"/>
                <w:lang w:eastAsia="fr-FR"/>
              </w:rPr>
            </w:pP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b/>
                <w:bCs/>
                <w:color w:val="000000"/>
                <w:lang w:eastAsia="fr-FR"/>
              </w:rPr>
              <w:t>700 MHz</w:t>
            </w:r>
            <w:r w:rsidRPr="00EE575B">
              <w:rPr>
                <w:rFonts w:ascii="Calibri" w:eastAsia="Times New Roman" w:hAnsi="Calibri" w:cs="Calibri"/>
                <w:color w:val="000000"/>
                <w:lang w:eastAsia="fr-FR"/>
              </w:rPr>
              <w:t xml:space="preserve"> : jusqu’à 5-10 km</w:t>
            </w:r>
          </w:p>
        </w:tc>
        <w:tc>
          <w:tcPr>
            <w:tcW w:w="2693" w:type="dxa"/>
            <w:vMerge/>
            <w:tcBorders>
              <w:top w:val="nil"/>
              <w:left w:val="single" w:sz="4" w:space="0" w:color="auto"/>
              <w:bottom w:val="single" w:sz="4" w:space="0" w:color="auto"/>
              <w:right w:val="single" w:sz="4" w:space="0" w:color="auto"/>
            </w:tcBorders>
            <w:vAlign w:val="center"/>
            <w:hideMark/>
          </w:tcPr>
          <w:p w:rsidR="008645DF" w:rsidRPr="00EE575B" w:rsidRDefault="008645DF" w:rsidP="008645DF">
            <w:pPr>
              <w:rPr>
                <w:rFonts w:ascii="Calibri" w:eastAsia="Times New Roman" w:hAnsi="Calibri" w:cs="Calibri"/>
                <w:color w:val="000000"/>
                <w:lang w:eastAsia="fr-FR"/>
              </w:rPr>
            </w:pP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3 km (750 m)</w:t>
            </w:r>
          </w:p>
        </w:tc>
      </w:tr>
      <w:tr w:rsidR="008645DF" w:rsidRPr="00EE575B" w:rsidTr="008645DF">
        <w:trPr>
          <w:trHeight w:val="300"/>
        </w:trPr>
        <w:tc>
          <w:tcPr>
            <w:tcW w:w="1418" w:type="dxa"/>
            <w:vMerge/>
            <w:tcBorders>
              <w:top w:val="nil"/>
              <w:left w:val="single" w:sz="4" w:space="0" w:color="auto"/>
              <w:bottom w:val="single" w:sz="4" w:space="0" w:color="auto"/>
              <w:right w:val="single" w:sz="4" w:space="0" w:color="auto"/>
            </w:tcBorders>
            <w:vAlign w:val="center"/>
            <w:hideMark/>
          </w:tcPr>
          <w:p w:rsidR="008645DF" w:rsidRPr="00EE575B" w:rsidRDefault="008645DF" w:rsidP="008645DF">
            <w:pPr>
              <w:rPr>
                <w:rFonts w:ascii="Calibri" w:eastAsia="Times New Roman" w:hAnsi="Calibri" w:cs="Calibri"/>
                <w:b/>
                <w:bCs/>
                <w:color w:val="000000"/>
                <w:lang w:eastAsia="fr-FR"/>
              </w:rPr>
            </w:pP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b/>
                <w:bCs/>
                <w:color w:val="000000"/>
                <w:lang w:eastAsia="fr-FR"/>
              </w:rPr>
              <w:t>3,5 GHz</w:t>
            </w:r>
            <w:r w:rsidRPr="00EE575B">
              <w:rPr>
                <w:rFonts w:ascii="Calibri" w:eastAsia="Times New Roman" w:hAnsi="Calibri" w:cs="Calibri"/>
                <w:color w:val="000000"/>
                <w:lang w:eastAsia="fr-FR"/>
              </w:rPr>
              <w:t xml:space="preserve"> : jusqu’à 1-2 km</w:t>
            </w:r>
          </w:p>
        </w:tc>
        <w:tc>
          <w:tcPr>
            <w:tcW w:w="2693" w:type="dxa"/>
            <w:vMerge/>
            <w:tcBorders>
              <w:top w:val="nil"/>
              <w:left w:val="single" w:sz="4" w:space="0" w:color="auto"/>
              <w:bottom w:val="single" w:sz="4" w:space="0" w:color="auto"/>
              <w:right w:val="single" w:sz="4" w:space="0" w:color="auto"/>
            </w:tcBorders>
            <w:vAlign w:val="center"/>
            <w:hideMark/>
          </w:tcPr>
          <w:p w:rsidR="008645DF" w:rsidRPr="00EE575B" w:rsidRDefault="008645DF" w:rsidP="008645DF">
            <w:pPr>
              <w:rPr>
                <w:rFonts w:ascii="Calibri" w:eastAsia="Times New Roman" w:hAnsi="Calibri" w:cs="Calibri"/>
                <w:color w:val="000000"/>
                <w:lang w:eastAsia="fr-FR"/>
              </w:rPr>
            </w:pP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500 m (80 m)</w:t>
            </w:r>
          </w:p>
        </w:tc>
      </w:tr>
      <w:tr w:rsidR="008645DF" w:rsidRPr="00EE575B" w:rsidTr="008645DF">
        <w:trPr>
          <w:trHeight w:val="300"/>
        </w:trPr>
        <w:tc>
          <w:tcPr>
            <w:tcW w:w="1418" w:type="dxa"/>
            <w:vMerge/>
            <w:tcBorders>
              <w:top w:val="nil"/>
              <w:left w:val="single" w:sz="4" w:space="0" w:color="auto"/>
              <w:bottom w:val="single" w:sz="4" w:space="0" w:color="auto"/>
              <w:right w:val="single" w:sz="4" w:space="0" w:color="auto"/>
            </w:tcBorders>
            <w:vAlign w:val="center"/>
            <w:hideMark/>
          </w:tcPr>
          <w:p w:rsidR="008645DF" w:rsidRPr="00EE575B" w:rsidRDefault="008645DF" w:rsidP="008645DF">
            <w:pPr>
              <w:rPr>
                <w:rFonts w:ascii="Calibri" w:eastAsia="Times New Roman" w:hAnsi="Calibri" w:cs="Calibri"/>
                <w:b/>
                <w:bCs/>
                <w:color w:val="000000"/>
                <w:lang w:eastAsia="fr-FR"/>
              </w:rPr>
            </w:pP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w:t>
            </w:r>
            <w:r w:rsidRPr="00EE575B">
              <w:rPr>
                <w:rFonts w:ascii="Calibri" w:eastAsia="Times New Roman" w:hAnsi="Calibri" w:cs="Calibri"/>
                <w:b/>
                <w:bCs/>
                <w:color w:val="000000"/>
                <w:lang w:eastAsia="fr-FR"/>
              </w:rPr>
              <w:t>A venir) 26 GHz</w:t>
            </w:r>
            <w:r w:rsidRPr="00EE575B">
              <w:rPr>
                <w:rFonts w:ascii="Calibri" w:eastAsia="Times New Roman" w:hAnsi="Calibri" w:cs="Calibri"/>
                <w:color w:val="000000"/>
                <w:lang w:eastAsia="fr-FR"/>
              </w:rPr>
              <w:t xml:space="preserve">  : environ 100 à 300 m</w:t>
            </w:r>
          </w:p>
        </w:tc>
        <w:tc>
          <w:tcPr>
            <w:tcW w:w="2693" w:type="dxa"/>
            <w:vMerge/>
            <w:tcBorders>
              <w:top w:val="nil"/>
              <w:left w:val="single" w:sz="4" w:space="0" w:color="auto"/>
              <w:bottom w:val="single" w:sz="4" w:space="0" w:color="auto"/>
              <w:right w:val="single" w:sz="4" w:space="0" w:color="auto"/>
            </w:tcBorders>
            <w:vAlign w:val="center"/>
            <w:hideMark/>
          </w:tcPr>
          <w:p w:rsidR="008645DF" w:rsidRPr="00EE575B" w:rsidRDefault="008645DF" w:rsidP="008645DF">
            <w:pPr>
              <w:rPr>
                <w:rFonts w:ascii="Calibri" w:eastAsia="Times New Roman" w:hAnsi="Calibri" w:cs="Calibri"/>
                <w:color w:val="000000"/>
                <w:lang w:eastAsia="fr-FR"/>
              </w:rPr>
            </w:pP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FF0000"/>
                <w:lang w:eastAsia="fr-FR"/>
              </w:rPr>
            </w:pPr>
            <w:r w:rsidRPr="00EE575B">
              <w:rPr>
                <w:rFonts w:ascii="Calibri" w:eastAsia="Times New Roman" w:hAnsi="Calibri" w:cs="Calibri"/>
                <w:color w:val="FF0000"/>
                <w:lang w:eastAsia="fr-FR"/>
              </w:rPr>
              <w:t>Jusqu'à 100 m (10 m)</w:t>
            </w:r>
          </w:p>
        </w:tc>
      </w:tr>
      <w:tr w:rsidR="008645DF" w:rsidRPr="00EE575B" w:rsidTr="008645DF">
        <w:trPr>
          <w:trHeight w:val="6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 xml:space="preserve">Wifi </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2,4 GHz</w:t>
            </w:r>
          </w:p>
        </w:tc>
        <w:tc>
          <w:tcPr>
            <w:tcW w:w="2693" w:type="dxa"/>
            <w:tcBorders>
              <w:top w:val="nil"/>
              <w:left w:val="nil"/>
              <w:bottom w:val="single" w:sz="4" w:space="0" w:color="auto"/>
              <w:right w:val="single" w:sz="4" w:space="0" w:color="auto"/>
            </w:tcBorders>
            <w:shd w:val="clear" w:color="auto" w:fill="auto"/>
            <w:vAlign w:val="bottom"/>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150 m</w:t>
            </w: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30 m (5 m)</w:t>
            </w:r>
          </w:p>
        </w:tc>
      </w:tr>
      <w:tr w:rsidR="008645DF" w:rsidRPr="00EE575B" w:rsidTr="008645DF">
        <w:trPr>
          <w:trHeight w:val="6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 xml:space="preserve">Wifi </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5 GHz</w:t>
            </w:r>
          </w:p>
        </w:tc>
        <w:tc>
          <w:tcPr>
            <w:tcW w:w="2693"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50 m</w:t>
            </w: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15 m (2 m)</w:t>
            </w:r>
          </w:p>
        </w:tc>
      </w:tr>
      <w:tr w:rsidR="008645DF" w:rsidRPr="00EE575B" w:rsidTr="008645DF">
        <w:trPr>
          <w:trHeight w:val="6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Wifi 6E</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6 GHz</w:t>
            </w:r>
          </w:p>
        </w:tc>
        <w:tc>
          <w:tcPr>
            <w:tcW w:w="2693"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30 m</w:t>
            </w: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FF0000"/>
                <w:lang w:eastAsia="fr-FR"/>
              </w:rPr>
            </w:pPr>
            <w:r w:rsidRPr="00EE575B">
              <w:rPr>
                <w:rFonts w:ascii="Calibri" w:eastAsia="Times New Roman" w:hAnsi="Calibri" w:cs="Calibri"/>
                <w:color w:val="FF0000"/>
                <w:lang w:eastAsia="fr-FR"/>
              </w:rPr>
              <w:t>Jusqu'à 10 m (1 m)</w:t>
            </w:r>
          </w:p>
        </w:tc>
      </w:tr>
      <w:tr w:rsidR="008645DF" w:rsidRPr="00EE575B" w:rsidTr="008645DF">
        <w:trPr>
          <w:trHeight w:val="9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410966" w:rsidRDefault="00410966" w:rsidP="008645DF">
            <w:pPr>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Téléphone</w:t>
            </w:r>
          </w:p>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portable</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Dépend de la génération</w:t>
            </w:r>
          </w:p>
        </w:tc>
        <w:tc>
          <w:tcPr>
            <w:tcW w:w="2693" w:type="dxa"/>
            <w:tcBorders>
              <w:top w:val="nil"/>
              <w:left w:val="nil"/>
              <w:bottom w:val="single" w:sz="4" w:space="0" w:color="auto"/>
              <w:right w:val="single" w:sz="4" w:space="0" w:color="auto"/>
            </w:tcBorders>
            <w:shd w:val="clear" w:color="auto" w:fill="auto"/>
            <w:vAlign w:val="bottom"/>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Identique à la portée de l'antenne (donc de 2 à 35 km selon la technologie)</w:t>
            </w: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410966">
            <w:pPr>
              <w:ind w:left="0" w:firstLine="0"/>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 xml:space="preserve">donc de </w:t>
            </w:r>
            <w:r w:rsidR="00410966">
              <w:rPr>
                <w:rFonts w:ascii="Calibri" w:eastAsia="Times New Roman" w:hAnsi="Calibri" w:cs="Calibri"/>
                <w:color w:val="000000"/>
                <w:lang w:eastAsia="fr-FR"/>
              </w:rPr>
              <w:t xml:space="preserve">100 m à 10 km              </w:t>
            </w:r>
            <w:r w:rsidRPr="00EE575B">
              <w:rPr>
                <w:rFonts w:ascii="Calibri" w:eastAsia="Times New Roman" w:hAnsi="Calibri" w:cs="Calibri"/>
                <w:color w:val="000000"/>
                <w:lang w:eastAsia="fr-FR"/>
              </w:rPr>
              <w:t xml:space="preserve">(de 10 m en 26 GHz </w:t>
            </w:r>
            <w:r>
              <w:rPr>
                <w:rFonts w:ascii="Calibri" w:eastAsia="Times New Roman" w:hAnsi="Calibri" w:cs="Calibri"/>
                <w:color w:val="000000"/>
                <w:lang w:eastAsia="fr-FR"/>
              </w:rPr>
              <w:t xml:space="preserve">                  </w:t>
            </w:r>
            <w:r w:rsidRPr="00EE575B">
              <w:rPr>
                <w:rFonts w:ascii="Calibri" w:eastAsia="Times New Roman" w:hAnsi="Calibri" w:cs="Calibri"/>
                <w:color w:val="000000"/>
                <w:lang w:eastAsia="fr-FR"/>
              </w:rPr>
              <w:t>à 2,5 km)</w:t>
            </w:r>
          </w:p>
        </w:tc>
      </w:tr>
      <w:tr w:rsidR="008645DF" w:rsidRPr="00EE575B" w:rsidTr="008645DF">
        <w:trPr>
          <w:trHeight w:val="6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Bluetooth</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2,4 GHz</w:t>
            </w:r>
          </w:p>
        </w:tc>
        <w:tc>
          <w:tcPr>
            <w:tcW w:w="2693"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de 10 m à 100 m</w:t>
            </w: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10 m (1 m)</w:t>
            </w:r>
          </w:p>
        </w:tc>
      </w:tr>
      <w:tr w:rsidR="008645DF" w:rsidRPr="00EE575B" w:rsidTr="008645DF">
        <w:trPr>
          <w:trHeight w:val="6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410966" w:rsidRDefault="00410966" w:rsidP="008645DF">
            <w:pPr>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Montre</w:t>
            </w:r>
          </w:p>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connectée</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2,4 GHz</w:t>
            </w:r>
          </w:p>
        </w:tc>
        <w:tc>
          <w:tcPr>
            <w:tcW w:w="2693" w:type="dxa"/>
            <w:tcBorders>
              <w:top w:val="nil"/>
              <w:left w:val="nil"/>
              <w:bottom w:val="single" w:sz="4" w:space="0" w:color="auto"/>
              <w:right w:val="single" w:sz="4" w:space="0" w:color="auto"/>
            </w:tcBorders>
            <w:shd w:val="clear" w:color="auto" w:fill="auto"/>
            <w:vAlign w:val="bottom"/>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 xml:space="preserve">Généralement via </w:t>
            </w:r>
            <w:r>
              <w:rPr>
                <w:rFonts w:ascii="Calibri" w:eastAsia="Times New Roman" w:hAnsi="Calibri" w:cs="Calibri"/>
                <w:color w:val="000000"/>
                <w:lang w:eastAsia="fr-FR"/>
              </w:rPr>
              <w:t xml:space="preserve">     </w:t>
            </w:r>
            <w:r w:rsidRPr="00EE575B">
              <w:rPr>
                <w:rFonts w:ascii="Calibri" w:eastAsia="Times New Roman" w:hAnsi="Calibri" w:cs="Calibri"/>
                <w:color w:val="000000"/>
                <w:lang w:eastAsia="fr-FR"/>
              </w:rPr>
              <w:t>Bluetooth : 10 à 100 m</w:t>
            </w: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10 m (1 m)</w:t>
            </w:r>
          </w:p>
        </w:tc>
      </w:tr>
      <w:tr w:rsidR="008645DF" w:rsidRPr="00EE575B" w:rsidTr="008645DF">
        <w:trPr>
          <w:trHeight w:val="6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410966" w:rsidRDefault="00410966" w:rsidP="008645DF">
            <w:pPr>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Téléphone</w:t>
            </w:r>
          </w:p>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DECT</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1880 - 1900 MHz</w:t>
            </w:r>
          </w:p>
        </w:tc>
        <w:tc>
          <w:tcPr>
            <w:tcW w:w="2693"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300 m</w:t>
            </w: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Jusqu'à 50 m (20 m)</w:t>
            </w:r>
          </w:p>
        </w:tc>
      </w:tr>
      <w:tr w:rsidR="008645DF" w:rsidRPr="00EE575B" w:rsidTr="008645DF">
        <w:trPr>
          <w:trHeight w:val="6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b/>
                <w:bCs/>
                <w:color w:val="000000"/>
                <w:lang w:eastAsia="fr-FR"/>
              </w:rPr>
            </w:pPr>
            <w:r w:rsidRPr="00EE575B">
              <w:rPr>
                <w:rFonts w:ascii="Calibri" w:eastAsia="Times New Roman" w:hAnsi="Calibri" w:cs="Calibri"/>
                <w:b/>
                <w:bCs/>
                <w:color w:val="000000"/>
                <w:lang w:eastAsia="fr-FR"/>
              </w:rPr>
              <w:t>Babyphone</w:t>
            </w:r>
          </w:p>
        </w:tc>
        <w:tc>
          <w:tcPr>
            <w:tcW w:w="3686"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410966">
            <w:pPr>
              <w:ind w:left="0" w:firstLine="0"/>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 xml:space="preserve">864 MHz, 2,4 ou 5 GHz si en wifi, </w:t>
            </w:r>
            <w:r>
              <w:rPr>
                <w:rFonts w:ascii="Calibri" w:eastAsia="Times New Roman" w:hAnsi="Calibri" w:cs="Calibri"/>
                <w:color w:val="000000"/>
                <w:lang w:eastAsia="fr-FR"/>
              </w:rPr>
              <w:t xml:space="preserve">           </w:t>
            </w:r>
            <w:r w:rsidRPr="00EE575B">
              <w:rPr>
                <w:rFonts w:ascii="Calibri" w:eastAsia="Times New Roman" w:hAnsi="Calibri" w:cs="Calibri"/>
                <w:color w:val="000000"/>
                <w:lang w:eastAsia="fr-FR"/>
              </w:rPr>
              <w:t xml:space="preserve">1880-1900 MHz si DECT </w:t>
            </w:r>
            <w:r>
              <w:rPr>
                <w:rFonts w:ascii="Calibri" w:eastAsia="Times New Roman" w:hAnsi="Calibri" w:cs="Calibri"/>
                <w:color w:val="000000"/>
                <w:lang w:eastAsia="fr-FR"/>
              </w:rPr>
              <w:t xml:space="preserve">                                   </w:t>
            </w:r>
            <w:r w:rsidRPr="00EE575B">
              <w:rPr>
                <w:rFonts w:ascii="Calibri" w:eastAsia="Times New Roman" w:hAnsi="Calibri" w:cs="Calibri"/>
                <w:color w:val="000000"/>
                <w:lang w:eastAsia="fr-FR"/>
              </w:rPr>
              <w:t>(selon la technologie)</w:t>
            </w:r>
          </w:p>
        </w:tc>
        <w:tc>
          <w:tcPr>
            <w:tcW w:w="2693"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de 100 m à 1 km                                      selon la technologie</w:t>
            </w:r>
          </w:p>
        </w:tc>
        <w:tc>
          <w:tcPr>
            <w:tcW w:w="2551" w:type="dxa"/>
            <w:tcBorders>
              <w:top w:val="nil"/>
              <w:left w:val="nil"/>
              <w:bottom w:val="single" w:sz="4" w:space="0" w:color="auto"/>
              <w:right w:val="single" w:sz="4" w:space="0" w:color="auto"/>
            </w:tcBorders>
            <w:shd w:val="clear" w:color="auto" w:fill="auto"/>
            <w:vAlign w:val="center"/>
            <w:hideMark/>
          </w:tcPr>
          <w:p w:rsidR="008645DF" w:rsidRPr="00EE575B" w:rsidRDefault="008645DF" w:rsidP="008645DF">
            <w:pPr>
              <w:jc w:val="center"/>
              <w:rPr>
                <w:rFonts w:ascii="Calibri" w:eastAsia="Times New Roman" w:hAnsi="Calibri" w:cs="Calibri"/>
                <w:color w:val="000000"/>
                <w:lang w:eastAsia="fr-FR"/>
              </w:rPr>
            </w:pPr>
            <w:r w:rsidRPr="00EE575B">
              <w:rPr>
                <w:rFonts w:ascii="Calibri" w:eastAsia="Times New Roman" w:hAnsi="Calibri" w:cs="Calibri"/>
                <w:color w:val="000000"/>
                <w:lang w:eastAsia="fr-FR"/>
              </w:rPr>
              <w:t>de 30 m à 100 m                                     (de 10 à 30 m)</w:t>
            </w:r>
          </w:p>
        </w:tc>
      </w:tr>
    </w:tbl>
    <w:p w:rsidR="008645DF" w:rsidRDefault="008645DF" w:rsidP="008645DF"/>
    <w:p w:rsidR="008645DF" w:rsidRDefault="008645DF" w:rsidP="008645DF"/>
    <w:p w:rsidR="008645DF" w:rsidRDefault="008645DF" w:rsidP="008645DF"/>
    <w:p w:rsidR="008645DF" w:rsidRDefault="008645DF" w:rsidP="008645DF"/>
    <w:p w:rsidR="008645DF" w:rsidRDefault="008645DF" w:rsidP="008645DF"/>
    <w:p w:rsidR="00130109" w:rsidRDefault="00130109" w:rsidP="008645DF"/>
    <w:p w:rsidR="00130109" w:rsidRDefault="00130109" w:rsidP="008645DF"/>
    <w:p w:rsidR="008645DF" w:rsidRPr="00770E46" w:rsidRDefault="008645DF" w:rsidP="009F3BB0">
      <w:pPr>
        <w:pStyle w:val="Paragraphedeliste"/>
        <w:numPr>
          <w:ilvl w:val="0"/>
          <w:numId w:val="20"/>
        </w:numPr>
        <w:spacing w:after="200" w:line="276" w:lineRule="auto"/>
        <w:rPr>
          <w:rFonts w:ascii="Arial" w:hAnsi="Arial" w:cs="Arial"/>
          <w:sz w:val="20"/>
          <w:szCs w:val="20"/>
        </w:rPr>
      </w:pPr>
      <w:r w:rsidRPr="00770E46">
        <w:rPr>
          <w:rFonts w:ascii="Arial" w:hAnsi="Arial" w:cs="Arial"/>
          <w:sz w:val="20"/>
          <w:szCs w:val="20"/>
        </w:rPr>
        <w:lastRenderedPageBreak/>
        <w:t>La recherche s’intensifie (quelques exemples, source : Pubmed) :</w:t>
      </w:r>
    </w:p>
    <w:p w:rsidR="008645DF" w:rsidRDefault="008645DF" w:rsidP="008645DF">
      <w:pPr>
        <w:pStyle w:val="Paragraphedeliste"/>
      </w:pPr>
    </w:p>
    <w:p w:rsidR="008645DF" w:rsidRDefault="008645DF" w:rsidP="00130109">
      <w:pPr>
        <w:pStyle w:val="Paragraphedeliste"/>
        <w:ind w:left="0" w:firstLine="0"/>
        <w:jc w:val="center"/>
      </w:pPr>
      <w:r>
        <w:rPr>
          <w:noProof/>
          <w:lang w:eastAsia="fr-FR"/>
        </w:rPr>
        <w:drawing>
          <wp:inline distT="0" distB="0" distL="0" distR="0">
            <wp:extent cx="6110605" cy="2611120"/>
            <wp:effectExtent l="19050" t="0" r="4445" b="0"/>
            <wp:docPr id="3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srcRect/>
                    <a:stretch>
                      <a:fillRect/>
                    </a:stretch>
                  </pic:blipFill>
                  <pic:spPr bwMode="auto">
                    <a:xfrm>
                      <a:off x="0" y="0"/>
                      <a:ext cx="6110605" cy="2611120"/>
                    </a:xfrm>
                    <a:prstGeom prst="rect">
                      <a:avLst/>
                    </a:prstGeom>
                    <a:noFill/>
                    <a:ln w="9525">
                      <a:noFill/>
                      <a:miter lim="800000"/>
                      <a:headEnd/>
                      <a:tailEnd/>
                    </a:ln>
                  </pic:spPr>
                </pic:pic>
              </a:graphicData>
            </a:graphic>
          </wp:inline>
        </w:drawing>
      </w:r>
    </w:p>
    <w:p w:rsidR="008645DF" w:rsidRDefault="008645DF" w:rsidP="008645DF">
      <w:pPr>
        <w:pStyle w:val="Paragraphedeliste"/>
        <w:ind w:left="0"/>
      </w:pPr>
    </w:p>
    <w:p w:rsidR="008645DF" w:rsidRDefault="008645DF" w:rsidP="00130109">
      <w:pPr>
        <w:pStyle w:val="Paragraphedeliste"/>
        <w:ind w:left="0" w:firstLine="0"/>
        <w:jc w:val="center"/>
      </w:pPr>
      <w:r>
        <w:rPr>
          <w:noProof/>
          <w:lang w:eastAsia="fr-FR"/>
        </w:rPr>
        <w:drawing>
          <wp:inline distT="0" distB="0" distL="0" distR="0">
            <wp:extent cx="6115050" cy="2876550"/>
            <wp:effectExtent l="19050" t="0" r="0" b="0"/>
            <wp:docPr id="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6115050" cy="2876550"/>
                    </a:xfrm>
                    <a:prstGeom prst="rect">
                      <a:avLst/>
                    </a:prstGeom>
                    <a:noFill/>
                    <a:ln w="9525">
                      <a:noFill/>
                      <a:miter lim="800000"/>
                      <a:headEnd/>
                      <a:tailEnd/>
                    </a:ln>
                  </pic:spPr>
                </pic:pic>
              </a:graphicData>
            </a:graphic>
          </wp:inline>
        </w:drawing>
      </w:r>
      <w:r>
        <w:rPr>
          <w:noProof/>
          <w:lang w:eastAsia="fr-FR"/>
        </w:rPr>
        <w:drawing>
          <wp:inline distT="0" distB="0" distL="0" distR="0">
            <wp:extent cx="6115050" cy="2590800"/>
            <wp:effectExtent l="19050" t="0" r="0" b="0"/>
            <wp:docPr id="3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a:stretch>
                      <a:fillRect/>
                    </a:stretch>
                  </pic:blipFill>
                  <pic:spPr bwMode="auto">
                    <a:xfrm>
                      <a:off x="0" y="0"/>
                      <a:ext cx="6115050" cy="2590800"/>
                    </a:xfrm>
                    <a:prstGeom prst="rect">
                      <a:avLst/>
                    </a:prstGeom>
                    <a:noFill/>
                    <a:ln w="9525">
                      <a:noFill/>
                      <a:miter lim="800000"/>
                      <a:headEnd/>
                      <a:tailEnd/>
                    </a:ln>
                  </pic:spPr>
                </pic:pic>
              </a:graphicData>
            </a:graphic>
          </wp:inline>
        </w:drawing>
      </w:r>
    </w:p>
    <w:p w:rsidR="008645DF" w:rsidRDefault="008645DF" w:rsidP="008645DF">
      <w:pPr>
        <w:pStyle w:val="Paragraphedeliste"/>
        <w:ind w:left="0"/>
      </w:pPr>
    </w:p>
    <w:p w:rsidR="008645DF" w:rsidRDefault="008645DF" w:rsidP="008645DF">
      <w:pPr>
        <w:pStyle w:val="Paragraphedeliste"/>
        <w:ind w:left="0"/>
      </w:pPr>
    </w:p>
    <w:p w:rsidR="008645DF" w:rsidRDefault="008645DF" w:rsidP="00130109">
      <w:pPr>
        <w:pStyle w:val="Paragraphedeliste"/>
        <w:ind w:left="0" w:firstLine="0"/>
        <w:jc w:val="center"/>
      </w:pPr>
      <w:r>
        <w:rPr>
          <w:noProof/>
          <w:lang w:eastAsia="fr-FR"/>
        </w:rPr>
        <w:lastRenderedPageBreak/>
        <w:drawing>
          <wp:inline distT="0" distB="0" distL="0" distR="0">
            <wp:extent cx="6119495" cy="2532380"/>
            <wp:effectExtent l="19050" t="0" r="0" b="0"/>
            <wp:docPr id="3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a:stretch>
                      <a:fillRect/>
                    </a:stretch>
                  </pic:blipFill>
                  <pic:spPr bwMode="auto">
                    <a:xfrm>
                      <a:off x="0" y="0"/>
                      <a:ext cx="6119495" cy="2532380"/>
                    </a:xfrm>
                    <a:prstGeom prst="rect">
                      <a:avLst/>
                    </a:prstGeom>
                    <a:noFill/>
                    <a:ln w="9525">
                      <a:noFill/>
                      <a:miter lim="800000"/>
                      <a:headEnd/>
                      <a:tailEnd/>
                    </a:ln>
                  </pic:spPr>
                </pic:pic>
              </a:graphicData>
            </a:graphic>
          </wp:inline>
        </w:drawing>
      </w:r>
    </w:p>
    <w:p w:rsidR="00130109" w:rsidRDefault="00130109" w:rsidP="00130109">
      <w:pPr>
        <w:pStyle w:val="Paragraphedeliste"/>
        <w:ind w:left="0" w:firstLine="0"/>
        <w:jc w:val="center"/>
      </w:pPr>
    </w:p>
    <w:p w:rsidR="008645DF" w:rsidRDefault="008645DF" w:rsidP="00130109">
      <w:pPr>
        <w:pStyle w:val="Paragraphedeliste"/>
        <w:ind w:left="0" w:firstLine="0"/>
      </w:pPr>
      <w:r>
        <w:rPr>
          <w:noProof/>
          <w:lang w:eastAsia="fr-FR"/>
        </w:rPr>
        <w:drawing>
          <wp:inline distT="0" distB="0" distL="0" distR="0">
            <wp:extent cx="6115050" cy="2533650"/>
            <wp:effectExtent l="19050" t="0" r="0" b="0"/>
            <wp:docPr id="3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srcRect/>
                    <a:stretch>
                      <a:fillRect/>
                    </a:stretch>
                  </pic:blipFill>
                  <pic:spPr bwMode="auto">
                    <a:xfrm>
                      <a:off x="0" y="0"/>
                      <a:ext cx="6115050" cy="2533650"/>
                    </a:xfrm>
                    <a:prstGeom prst="rect">
                      <a:avLst/>
                    </a:prstGeom>
                    <a:noFill/>
                    <a:ln w="9525">
                      <a:noFill/>
                      <a:miter lim="800000"/>
                      <a:headEnd/>
                      <a:tailEnd/>
                    </a:ln>
                  </pic:spPr>
                </pic:pic>
              </a:graphicData>
            </a:graphic>
          </wp:inline>
        </w:drawing>
      </w:r>
    </w:p>
    <w:p w:rsidR="00130109" w:rsidRDefault="00130109" w:rsidP="00130109">
      <w:pPr>
        <w:pStyle w:val="Paragraphedeliste"/>
        <w:ind w:left="0" w:firstLine="0"/>
      </w:pPr>
    </w:p>
    <w:p w:rsidR="008645DF" w:rsidRDefault="008645DF" w:rsidP="00130109">
      <w:pPr>
        <w:pStyle w:val="Paragraphedeliste"/>
        <w:ind w:left="0" w:firstLine="0"/>
        <w:jc w:val="center"/>
      </w:pPr>
      <w:r>
        <w:rPr>
          <w:noProof/>
          <w:lang w:eastAsia="fr-FR"/>
        </w:rPr>
        <w:drawing>
          <wp:inline distT="0" distB="0" distL="0" distR="0">
            <wp:extent cx="6115050" cy="2552700"/>
            <wp:effectExtent l="19050" t="0" r="0" b="0"/>
            <wp:docPr id="3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srcRect/>
                    <a:stretch>
                      <a:fillRect/>
                    </a:stretch>
                  </pic:blipFill>
                  <pic:spPr bwMode="auto">
                    <a:xfrm>
                      <a:off x="0" y="0"/>
                      <a:ext cx="6115050" cy="2552700"/>
                    </a:xfrm>
                    <a:prstGeom prst="rect">
                      <a:avLst/>
                    </a:prstGeom>
                    <a:noFill/>
                    <a:ln w="9525">
                      <a:noFill/>
                      <a:miter lim="800000"/>
                      <a:headEnd/>
                      <a:tailEnd/>
                    </a:ln>
                  </pic:spPr>
                </pic:pic>
              </a:graphicData>
            </a:graphic>
          </wp:inline>
        </w:drawing>
      </w:r>
    </w:p>
    <w:p w:rsidR="008645DF" w:rsidRDefault="008645DF" w:rsidP="008645DF">
      <w:pPr>
        <w:pStyle w:val="Paragraphedeliste"/>
        <w:ind w:left="0"/>
      </w:pPr>
    </w:p>
    <w:p w:rsidR="008645DF" w:rsidRDefault="008645DF" w:rsidP="008645DF">
      <w:pPr>
        <w:pStyle w:val="Paragraphedeliste"/>
        <w:ind w:left="0"/>
      </w:pPr>
    </w:p>
    <w:p w:rsidR="008645DF" w:rsidRDefault="008645DF" w:rsidP="008645DF">
      <w:pPr>
        <w:pStyle w:val="Paragraphedeliste"/>
        <w:ind w:left="0"/>
      </w:pPr>
    </w:p>
    <w:p w:rsidR="008645DF" w:rsidRDefault="008645DF" w:rsidP="008645DF">
      <w:pPr>
        <w:pStyle w:val="Paragraphedeliste"/>
        <w:ind w:left="0"/>
      </w:pPr>
    </w:p>
    <w:p w:rsidR="008645DF" w:rsidRDefault="008645DF" w:rsidP="008645DF">
      <w:pPr>
        <w:pStyle w:val="Paragraphedeliste"/>
        <w:ind w:left="0"/>
      </w:pPr>
    </w:p>
    <w:p w:rsidR="008645DF" w:rsidRDefault="008645DF" w:rsidP="008645DF">
      <w:pPr>
        <w:pStyle w:val="Paragraphedeliste"/>
        <w:ind w:left="0"/>
      </w:pPr>
    </w:p>
    <w:p w:rsidR="008645DF" w:rsidRDefault="008645DF" w:rsidP="008645DF">
      <w:pPr>
        <w:pStyle w:val="Paragraphedeliste"/>
        <w:ind w:left="0"/>
      </w:pPr>
    </w:p>
    <w:p w:rsidR="008645DF" w:rsidRDefault="008645DF" w:rsidP="009F3BB0">
      <w:pPr>
        <w:pStyle w:val="Paragraphedeliste"/>
        <w:numPr>
          <w:ilvl w:val="0"/>
          <w:numId w:val="20"/>
        </w:numPr>
        <w:spacing w:after="200" w:line="276" w:lineRule="auto"/>
      </w:pPr>
      <w:r>
        <w:lastRenderedPageBreak/>
        <w:t xml:space="preserve">  Proposition d’AOP pour l’étude EHS/MCS (Belpomme et al.,2015) :</w:t>
      </w:r>
    </w:p>
    <w:p w:rsidR="008645DF" w:rsidRDefault="008645DF" w:rsidP="00130109">
      <w:pPr>
        <w:pStyle w:val="Paragraphedeliste"/>
        <w:spacing w:line="276" w:lineRule="auto"/>
      </w:pPr>
    </w:p>
    <w:p w:rsidR="008645DF" w:rsidRPr="006C115C" w:rsidRDefault="008645DF" w:rsidP="00130109">
      <w:pPr>
        <w:spacing w:line="276" w:lineRule="auto"/>
        <w:rPr>
          <w:b/>
          <w:u w:val="single"/>
        </w:rPr>
      </w:pPr>
      <w:r w:rsidRPr="006C115C">
        <w:rPr>
          <w:b/>
          <w:u w:val="single"/>
        </w:rPr>
        <w:t>Reliable disease biomarkers characterizing and identifying electrohypersensitivity and multiple chemical sensitivity as two etiopathogenic aspects of a unique pathological disorder</w:t>
      </w:r>
    </w:p>
    <w:p w:rsidR="008645DF" w:rsidRPr="00130109" w:rsidRDefault="008645DF" w:rsidP="00130109">
      <w:pPr>
        <w:pStyle w:val="Titre4"/>
        <w:spacing w:line="276" w:lineRule="auto"/>
        <w:rPr>
          <w:b w:val="0"/>
          <w:i w:val="0"/>
          <w:color w:val="auto"/>
        </w:rPr>
      </w:pPr>
      <w:r w:rsidRPr="00130109">
        <w:rPr>
          <w:rStyle w:val="lev"/>
          <w:b/>
          <w:i w:val="0"/>
          <w:color w:val="auto"/>
        </w:rPr>
        <w:t>Molecular Initiating Event (MIE)</w:t>
      </w:r>
    </w:p>
    <w:p w:rsidR="008645DF" w:rsidRPr="00130109" w:rsidRDefault="008645DF" w:rsidP="00130109">
      <w:pPr>
        <w:spacing w:before="100" w:beforeAutospacing="1" w:after="100" w:afterAutospacing="1" w:line="276" w:lineRule="auto"/>
        <w:rPr>
          <w:b/>
        </w:rPr>
      </w:pPr>
      <w:r w:rsidRPr="00130109">
        <w:rPr>
          <w:rStyle w:val="lev"/>
          <w:b w:val="0"/>
        </w:rPr>
        <w:t>Exposition chronique à des agents physiques (EMF) ou chimiques (polluants, solvants)</w:t>
      </w:r>
    </w:p>
    <w:p w:rsidR="008645DF" w:rsidRPr="00130109" w:rsidRDefault="008645DF" w:rsidP="00130109">
      <w:pPr>
        <w:pStyle w:val="Titre4"/>
        <w:spacing w:line="276" w:lineRule="auto"/>
        <w:rPr>
          <w:b w:val="0"/>
          <w:i w:val="0"/>
          <w:color w:val="auto"/>
        </w:rPr>
      </w:pPr>
      <w:r w:rsidRPr="00130109">
        <w:rPr>
          <w:rStyle w:val="lev"/>
          <w:b/>
          <w:i w:val="0"/>
          <w:color w:val="auto"/>
        </w:rPr>
        <w:t xml:space="preserve">Key Events </w:t>
      </w:r>
    </w:p>
    <w:p w:rsidR="008645DF" w:rsidRDefault="008645DF" w:rsidP="009F3BB0">
      <w:pPr>
        <w:pStyle w:val="Paragraphedeliste"/>
        <w:numPr>
          <w:ilvl w:val="0"/>
          <w:numId w:val="27"/>
        </w:numPr>
        <w:spacing w:before="100" w:beforeAutospacing="1" w:after="100" w:afterAutospacing="1" w:line="276" w:lineRule="auto"/>
        <w:jc w:val="left"/>
        <w:rPr>
          <w:rStyle w:val="lev"/>
        </w:rPr>
      </w:pPr>
      <w:r>
        <w:rPr>
          <w:rStyle w:val="lev"/>
        </w:rPr>
        <w:t xml:space="preserve">KE1 : Activation du stress oxydatif et nitrosatif </w:t>
      </w:r>
    </w:p>
    <w:p w:rsidR="008645DF" w:rsidRPr="00701518" w:rsidRDefault="008645DF" w:rsidP="009F3BB0">
      <w:pPr>
        <w:pStyle w:val="Paragraphedeliste"/>
        <w:numPr>
          <w:ilvl w:val="1"/>
          <w:numId w:val="27"/>
        </w:numPr>
        <w:spacing w:before="100" w:beforeAutospacing="1" w:after="100" w:afterAutospacing="1" w:line="276" w:lineRule="auto"/>
        <w:jc w:val="left"/>
        <w:rPr>
          <w:b/>
          <w:bCs/>
        </w:rPr>
      </w:pPr>
      <w:r>
        <w:t>Peroxydation lipidique</w:t>
      </w:r>
    </w:p>
    <w:p w:rsidR="008645DF" w:rsidRDefault="008645DF" w:rsidP="009F3BB0">
      <w:pPr>
        <w:numPr>
          <w:ilvl w:val="1"/>
          <w:numId w:val="27"/>
        </w:numPr>
        <w:spacing w:before="100" w:beforeAutospacing="1" w:after="100" w:afterAutospacing="1" w:line="276" w:lineRule="auto"/>
        <w:jc w:val="left"/>
      </w:pPr>
      <w:r>
        <w:t>Formation de nitrotyrosine (peroxynitrite)</w:t>
      </w:r>
    </w:p>
    <w:p w:rsidR="008645DF" w:rsidRDefault="008645DF" w:rsidP="009F3BB0">
      <w:pPr>
        <w:numPr>
          <w:ilvl w:val="0"/>
          <w:numId w:val="27"/>
        </w:numPr>
        <w:spacing w:before="100" w:beforeAutospacing="1" w:after="100" w:afterAutospacing="1" w:line="276" w:lineRule="auto"/>
        <w:jc w:val="left"/>
      </w:pPr>
      <w:r>
        <w:rPr>
          <w:rStyle w:val="lev"/>
        </w:rPr>
        <w:t>KE2 : Réponse immuno-inflammatoire anormale</w:t>
      </w:r>
    </w:p>
    <w:p w:rsidR="008645DF" w:rsidRDefault="008645DF" w:rsidP="009F3BB0">
      <w:pPr>
        <w:numPr>
          <w:ilvl w:val="1"/>
          <w:numId w:val="27"/>
        </w:numPr>
        <w:spacing w:before="100" w:beforeAutospacing="1" w:after="100" w:afterAutospacing="1" w:line="276" w:lineRule="auto"/>
        <w:jc w:val="left"/>
      </w:pPr>
      <w:r>
        <w:t>Hyperhistaminémie</w:t>
      </w:r>
    </w:p>
    <w:p w:rsidR="008645DF" w:rsidRDefault="008645DF" w:rsidP="009F3BB0">
      <w:pPr>
        <w:numPr>
          <w:ilvl w:val="1"/>
          <w:numId w:val="27"/>
        </w:numPr>
        <w:spacing w:before="100" w:beforeAutospacing="1" w:after="100" w:afterAutospacing="1" w:line="276" w:lineRule="auto"/>
        <w:jc w:val="left"/>
      </w:pPr>
      <w:r>
        <w:t>Augmentation de certaines cytokines</w:t>
      </w:r>
    </w:p>
    <w:p w:rsidR="008645DF" w:rsidRDefault="008645DF" w:rsidP="009F3BB0">
      <w:pPr>
        <w:numPr>
          <w:ilvl w:val="1"/>
          <w:numId w:val="27"/>
        </w:numPr>
        <w:spacing w:before="100" w:beforeAutospacing="1" w:after="100" w:afterAutospacing="1" w:line="276" w:lineRule="auto"/>
        <w:jc w:val="left"/>
      </w:pPr>
      <w:r>
        <w:t>Activation des protéines Hsp27 / Hsp70</w:t>
      </w:r>
    </w:p>
    <w:p w:rsidR="008645DF" w:rsidRDefault="008645DF" w:rsidP="009F3BB0">
      <w:pPr>
        <w:numPr>
          <w:ilvl w:val="0"/>
          <w:numId w:val="27"/>
        </w:numPr>
        <w:spacing w:before="100" w:beforeAutospacing="1" w:after="100" w:afterAutospacing="1" w:line="276" w:lineRule="auto"/>
        <w:jc w:val="left"/>
      </w:pPr>
      <w:r>
        <w:rPr>
          <w:rStyle w:val="lev"/>
        </w:rPr>
        <w:t>KE3 : Dysfonction neurovasculaire et neurogliale</w:t>
      </w:r>
    </w:p>
    <w:p w:rsidR="008645DF" w:rsidRDefault="008645DF" w:rsidP="009F3BB0">
      <w:pPr>
        <w:numPr>
          <w:ilvl w:val="1"/>
          <w:numId w:val="27"/>
        </w:numPr>
        <w:spacing w:before="100" w:beforeAutospacing="1" w:after="100" w:afterAutospacing="1" w:line="276" w:lineRule="auto"/>
        <w:jc w:val="left"/>
      </w:pPr>
      <w:r>
        <w:t>Ouverture de la barrière hémato-encéphalique (BHE) (↑ S100B)</w:t>
      </w:r>
    </w:p>
    <w:p w:rsidR="008645DF" w:rsidRDefault="008645DF" w:rsidP="009F3BB0">
      <w:pPr>
        <w:numPr>
          <w:ilvl w:val="1"/>
          <w:numId w:val="27"/>
        </w:numPr>
        <w:spacing w:before="100" w:beforeAutospacing="1" w:after="100" w:afterAutospacing="1" w:line="276" w:lineRule="auto"/>
        <w:jc w:val="left"/>
      </w:pPr>
      <w:r>
        <w:t>Hypoperfusion cérébrale (écho-Doppler capsulothalamique)</w:t>
      </w:r>
    </w:p>
    <w:p w:rsidR="008645DF" w:rsidRDefault="008645DF" w:rsidP="009F3BB0">
      <w:pPr>
        <w:numPr>
          <w:ilvl w:val="1"/>
          <w:numId w:val="27"/>
        </w:numPr>
        <w:spacing w:before="100" w:beforeAutospacing="1" w:after="100" w:afterAutospacing="1" w:line="276" w:lineRule="auto"/>
        <w:jc w:val="left"/>
      </w:pPr>
      <w:r>
        <w:t>Présence d’autoanticorps anti-O-myéline</w:t>
      </w:r>
    </w:p>
    <w:p w:rsidR="008645DF" w:rsidRDefault="008645DF" w:rsidP="009F3BB0">
      <w:pPr>
        <w:numPr>
          <w:ilvl w:val="0"/>
          <w:numId w:val="27"/>
        </w:numPr>
        <w:spacing w:before="100" w:beforeAutospacing="1" w:after="100" w:afterAutospacing="1" w:line="276" w:lineRule="auto"/>
        <w:jc w:val="left"/>
      </w:pPr>
      <w:r>
        <w:rPr>
          <w:rStyle w:val="lev"/>
        </w:rPr>
        <w:t>KE4 : Altérations neurofonctionnelles</w:t>
      </w:r>
    </w:p>
    <w:p w:rsidR="008645DF" w:rsidRDefault="008645DF" w:rsidP="009F3BB0">
      <w:pPr>
        <w:numPr>
          <w:ilvl w:val="1"/>
          <w:numId w:val="27"/>
        </w:numPr>
        <w:spacing w:before="100" w:beforeAutospacing="1" w:after="100" w:afterAutospacing="1" w:line="276" w:lineRule="auto"/>
        <w:jc w:val="left"/>
      </w:pPr>
      <w:r>
        <w:t>Anomalies EEG spécifiques</w:t>
      </w:r>
    </w:p>
    <w:p w:rsidR="008645DF" w:rsidRDefault="008645DF" w:rsidP="009F3BB0">
      <w:pPr>
        <w:numPr>
          <w:ilvl w:val="1"/>
          <w:numId w:val="27"/>
        </w:numPr>
        <w:spacing w:before="100" w:beforeAutospacing="1" w:after="100" w:afterAutospacing="1" w:line="276" w:lineRule="auto"/>
        <w:jc w:val="left"/>
      </w:pPr>
      <w:r>
        <w:t>Perturbation du sommeil</w:t>
      </w:r>
    </w:p>
    <w:p w:rsidR="008645DF" w:rsidRDefault="008645DF" w:rsidP="009F3BB0">
      <w:pPr>
        <w:numPr>
          <w:ilvl w:val="1"/>
          <w:numId w:val="27"/>
        </w:numPr>
        <w:spacing w:before="100" w:beforeAutospacing="1" w:after="100" w:afterAutospacing="1" w:line="276" w:lineRule="auto"/>
        <w:jc w:val="left"/>
      </w:pPr>
      <w:r>
        <w:t>Troubles cognitifs, attentionnels, fatigue mentale</w:t>
      </w:r>
    </w:p>
    <w:p w:rsidR="008645DF" w:rsidRPr="00130109" w:rsidRDefault="008645DF" w:rsidP="00130109">
      <w:pPr>
        <w:pStyle w:val="Titre4"/>
        <w:spacing w:line="276" w:lineRule="auto"/>
        <w:rPr>
          <w:b w:val="0"/>
          <w:i w:val="0"/>
          <w:color w:val="auto"/>
        </w:rPr>
      </w:pPr>
      <w:r w:rsidRPr="00130109">
        <w:rPr>
          <w:rStyle w:val="lev"/>
          <w:b/>
          <w:i w:val="0"/>
          <w:color w:val="auto"/>
        </w:rPr>
        <w:t>Adverse Outcome</w:t>
      </w:r>
    </w:p>
    <w:p w:rsidR="008645DF" w:rsidRDefault="008645DF" w:rsidP="00130109">
      <w:pPr>
        <w:spacing w:before="100" w:beforeAutospacing="1" w:after="100" w:afterAutospacing="1" w:line="276" w:lineRule="auto"/>
        <w:ind w:left="0" w:firstLine="0"/>
      </w:pPr>
      <w:r w:rsidRPr="00130109">
        <w:rPr>
          <w:rStyle w:val="lev"/>
          <w:b w:val="0"/>
        </w:rPr>
        <w:t>Syndrome neurotoxique chronique multi-systémique</w:t>
      </w:r>
      <w:r>
        <w:t xml:space="preserve"> manifesté cliniquement par l’électrohypersensibilité (EHS)  ou la Sensibilité chimique multiple (MCS)</w:t>
      </w:r>
    </w:p>
    <w:p w:rsidR="008645DF" w:rsidRDefault="008645DF" w:rsidP="00130109">
      <w:pPr>
        <w:spacing w:line="276" w:lineRule="auto"/>
      </w:pPr>
      <w:r>
        <w:br w:type="page"/>
      </w:r>
    </w:p>
    <w:p w:rsidR="008645DF" w:rsidRDefault="008645DF" w:rsidP="009F3BB0">
      <w:pPr>
        <w:pStyle w:val="Paragraphedeliste"/>
        <w:numPr>
          <w:ilvl w:val="0"/>
          <w:numId w:val="20"/>
        </w:numPr>
        <w:spacing w:before="100" w:beforeAutospacing="1" w:after="100" w:afterAutospacing="1"/>
        <w:jc w:val="left"/>
      </w:pPr>
      <w:r>
        <w:lastRenderedPageBreak/>
        <w:t>Proposition d’AOP pour les effets biologiques des radiofréquences sur les plantes :</w:t>
      </w:r>
    </w:p>
    <w:p w:rsidR="008645DF" w:rsidRPr="006C115C" w:rsidRDefault="008645DF" w:rsidP="008645DF">
      <w:pPr>
        <w:spacing w:before="100" w:beforeAutospacing="1" w:after="100" w:afterAutospacing="1"/>
        <w:rPr>
          <w:b/>
          <w:u w:val="single"/>
        </w:rPr>
      </w:pPr>
      <w:r w:rsidRPr="006C115C">
        <w:rPr>
          <w:b/>
          <w:u w:val="single"/>
        </w:rPr>
        <w:t>Effets des radiations RF-EMF sur la physiologie des plantes</w:t>
      </w:r>
    </w:p>
    <w:p w:rsidR="008645DF" w:rsidRPr="006C115C" w:rsidRDefault="008645DF" w:rsidP="008645DF">
      <w:pPr>
        <w:pStyle w:val="Titre1"/>
        <w:rPr>
          <w:color w:val="auto"/>
          <w:sz w:val="22"/>
          <w:szCs w:val="22"/>
        </w:rPr>
      </w:pPr>
      <w:r w:rsidRPr="006C115C">
        <w:rPr>
          <w:color w:val="auto"/>
          <w:sz w:val="22"/>
          <w:szCs w:val="22"/>
        </w:rPr>
        <w:t>1. Molecular Initiating Event (MIE)</w:t>
      </w:r>
    </w:p>
    <w:p w:rsidR="008645DF" w:rsidRDefault="008645DF" w:rsidP="008645DF">
      <w:pPr>
        <w:ind w:firstLine="360"/>
      </w:pPr>
      <w:r>
        <w:t>• Titre : Absorption de radiations électromagnétiques (RF-EMF) par les tissus végétaux</w:t>
      </w:r>
    </w:p>
    <w:p w:rsidR="008645DF" w:rsidRDefault="008645DF" w:rsidP="008645DF">
      <w:pPr>
        <w:ind w:firstLine="360"/>
      </w:pPr>
      <w:r>
        <w:t>• Description : Exposition à des champs électromagnétiques de radiofréquence (par ex. 900 MHz – 2.4 GHz) émis par des sources comme le Wifi ou les téléphones portables.</w:t>
      </w:r>
    </w:p>
    <w:p w:rsidR="008645DF" w:rsidRDefault="008645DF" w:rsidP="008645DF">
      <w:pPr>
        <w:ind w:firstLine="360"/>
      </w:pPr>
      <w:r>
        <w:t>• Taxa concernée : Plantes vasculaires (ex. Lactuca sativa, Allium cepa, Vicia faba)</w:t>
      </w:r>
    </w:p>
    <w:p w:rsidR="008645DF" w:rsidRDefault="008645DF" w:rsidP="008645DF">
      <w:pPr>
        <w:ind w:firstLine="360"/>
      </w:pPr>
      <w:r>
        <w:t>• Niveau biologique : Moléculaire / Cellulaire</w:t>
      </w:r>
    </w:p>
    <w:p w:rsidR="008645DF" w:rsidRDefault="008645DF" w:rsidP="008645DF">
      <w:pPr>
        <w:pStyle w:val="Titre1"/>
        <w:rPr>
          <w:color w:val="auto"/>
          <w:sz w:val="22"/>
          <w:szCs w:val="22"/>
        </w:rPr>
      </w:pPr>
      <w:r w:rsidRPr="006C115C">
        <w:rPr>
          <w:color w:val="auto"/>
          <w:sz w:val="22"/>
          <w:szCs w:val="22"/>
        </w:rPr>
        <w:t>2. Key Events (KEs)</w:t>
      </w:r>
    </w:p>
    <w:p w:rsidR="00130109" w:rsidRPr="00130109" w:rsidRDefault="00130109" w:rsidP="00130109"/>
    <w:tbl>
      <w:tblPr>
        <w:tblW w:w="0" w:type="auto"/>
        <w:tblLook w:val="04A0"/>
      </w:tblPr>
      <w:tblGrid>
        <w:gridCol w:w="2160"/>
        <w:gridCol w:w="2160"/>
        <w:gridCol w:w="2160"/>
        <w:gridCol w:w="2984"/>
      </w:tblGrid>
      <w:tr w:rsidR="008645DF" w:rsidTr="008645DF">
        <w:tc>
          <w:tcPr>
            <w:tcW w:w="2160" w:type="dxa"/>
          </w:tcPr>
          <w:p w:rsidR="008645DF" w:rsidRDefault="008645DF" w:rsidP="008645DF"/>
        </w:tc>
        <w:tc>
          <w:tcPr>
            <w:tcW w:w="2160" w:type="dxa"/>
          </w:tcPr>
          <w:p w:rsidR="008645DF" w:rsidRDefault="008645DF" w:rsidP="00130109">
            <w:pPr>
              <w:ind w:left="0" w:hanging="33"/>
              <w:jc w:val="center"/>
            </w:pPr>
            <w:r>
              <w:t>Titre du KE</w:t>
            </w:r>
          </w:p>
        </w:tc>
        <w:tc>
          <w:tcPr>
            <w:tcW w:w="2160" w:type="dxa"/>
          </w:tcPr>
          <w:p w:rsidR="008645DF" w:rsidRDefault="008645DF" w:rsidP="00130109">
            <w:pPr>
              <w:ind w:left="0" w:hanging="33"/>
              <w:jc w:val="center"/>
            </w:pPr>
            <w:r>
              <w:t>Niveau biologique</w:t>
            </w:r>
          </w:p>
        </w:tc>
        <w:tc>
          <w:tcPr>
            <w:tcW w:w="2984" w:type="dxa"/>
          </w:tcPr>
          <w:p w:rsidR="008645DF" w:rsidRDefault="008645DF" w:rsidP="00130109">
            <w:pPr>
              <w:ind w:left="0" w:hanging="33"/>
              <w:jc w:val="center"/>
            </w:pPr>
            <w:r>
              <w:t>Description</w:t>
            </w:r>
          </w:p>
        </w:tc>
      </w:tr>
      <w:tr w:rsidR="00130109" w:rsidTr="008645DF">
        <w:tc>
          <w:tcPr>
            <w:tcW w:w="2160" w:type="dxa"/>
          </w:tcPr>
          <w:p w:rsidR="00130109" w:rsidRDefault="00130109" w:rsidP="008645DF"/>
        </w:tc>
        <w:tc>
          <w:tcPr>
            <w:tcW w:w="2160" w:type="dxa"/>
          </w:tcPr>
          <w:p w:rsidR="00130109" w:rsidRDefault="00130109" w:rsidP="00130109">
            <w:pPr>
              <w:ind w:left="0" w:hanging="33"/>
              <w:jc w:val="center"/>
            </w:pPr>
          </w:p>
        </w:tc>
        <w:tc>
          <w:tcPr>
            <w:tcW w:w="2160" w:type="dxa"/>
          </w:tcPr>
          <w:p w:rsidR="00130109" w:rsidRDefault="00130109" w:rsidP="00130109">
            <w:pPr>
              <w:ind w:left="0" w:hanging="33"/>
              <w:jc w:val="center"/>
            </w:pPr>
          </w:p>
        </w:tc>
        <w:tc>
          <w:tcPr>
            <w:tcW w:w="2984" w:type="dxa"/>
          </w:tcPr>
          <w:p w:rsidR="00130109" w:rsidRDefault="00130109" w:rsidP="00130109">
            <w:pPr>
              <w:ind w:left="0" w:hanging="33"/>
              <w:jc w:val="center"/>
            </w:pPr>
          </w:p>
        </w:tc>
      </w:tr>
      <w:tr w:rsidR="008645DF" w:rsidTr="008645DF">
        <w:tc>
          <w:tcPr>
            <w:tcW w:w="2160" w:type="dxa"/>
          </w:tcPr>
          <w:p w:rsidR="008645DF" w:rsidRDefault="008645DF" w:rsidP="008645DF">
            <w:r>
              <w:t>KE1</w:t>
            </w:r>
          </w:p>
        </w:tc>
        <w:tc>
          <w:tcPr>
            <w:tcW w:w="2160" w:type="dxa"/>
          </w:tcPr>
          <w:p w:rsidR="00130109" w:rsidRDefault="00130109" w:rsidP="00130109">
            <w:pPr>
              <w:ind w:left="0" w:firstLine="0"/>
            </w:pPr>
            <w:r>
              <w:t xml:space="preserve">Production d'espèces réactives </w:t>
            </w:r>
            <w:r w:rsidR="008645DF">
              <w:t>de</w:t>
            </w:r>
          </w:p>
          <w:p w:rsidR="008645DF" w:rsidRDefault="008645DF" w:rsidP="00130109">
            <w:pPr>
              <w:ind w:left="0" w:firstLine="0"/>
            </w:pPr>
            <w:r>
              <w:t xml:space="preserve"> l’oxygène (ROS)</w:t>
            </w:r>
          </w:p>
        </w:tc>
        <w:tc>
          <w:tcPr>
            <w:tcW w:w="2160" w:type="dxa"/>
          </w:tcPr>
          <w:p w:rsidR="008645DF" w:rsidRDefault="008645DF" w:rsidP="008645DF">
            <w:r>
              <w:t>Cellulaire</w:t>
            </w:r>
          </w:p>
        </w:tc>
        <w:tc>
          <w:tcPr>
            <w:tcW w:w="2984" w:type="dxa"/>
          </w:tcPr>
          <w:p w:rsidR="008645DF" w:rsidRDefault="008645DF" w:rsidP="00130109">
            <w:pPr>
              <w:ind w:left="41" w:firstLine="0"/>
            </w:pPr>
            <w:r>
              <w:t>Génération accrue de ROS induite par l’exposition aux RF-EMF.</w:t>
            </w:r>
          </w:p>
          <w:p w:rsidR="00130109" w:rsidRDefault="00130109" w:rsidP="00130109">
            <w:pPr>
              <w:ind w:left="41" w:firstLine="0"/>
            </w:pPr>
          </w:p>
        </w:tc>
      </w:tr>
      <w:tr w:rsidR="008645DF" w:rsidTr="008645DF">
        <w:tc>
          <w:tcPr>
            <w:tcW w:w="2160" w:type="dxa"/>
          </w:tcPr>
          <w:p w:rsidR="008645DF" w:rsidRDefault="008645DF" w:rsidP="008645DF">
            <w:r>
              <w:t>KE2</w:t>
            </w:r>
          </w:p>
        </w:tc>
        <w:tc>
          <w:tcPr>
            <w:tcW w:w="2160" w:type="dxa"/>
          </w:tcPr>
          <w:p w:rsidR="008645DF" w:rsidRDefault="008645DF" w:rsidP="008645DF">
            <w:r>
              <w:t>Stress oxydatif</w:t>
            </w:r>
          </w:p>
        </w:tc>
        <w:tc>
          <w:tcPr>
            <w:tcW w:w="2160" w:type="dxa"/>
          </w:tcPr>
          <w:p w:rsidR="008645DF" w:rsidRDefault="008645DF" w:rsidP="008645DF">
            <w:r>
              <w:t>Cellulaire</w:t>
            </w:r>
          </w:p>
        </w:tc>
        <w:tc>
          <w:tcPr>
            <w:tcW w:w="2984" w:type="dxa"/>
          </w:tcPr>
          <w:p w:rsidR="008645DF" w:rsidRDefault="008645DF" w:rsidP="00130109">
            <w:pPr>
              <w:ind w:left="41" w:firstLine="0"/>
            </w:pPr>
            <w:r>
              <w:t>Accumulation de ROS menant à des dommages oxydatifs des composants cellulaires.</w:t>
            </w:r>
          </w:p>
          <w:p w:rsidR="00130109" w:rsidRDefault="00130109" w:rsidP="00130109">
            <w:pPr>
              <w:ind w:left="41" w:firstLine="0"/>
            </w:pPr>
          </w:p>
        </w:tc>
      </w:tr>
      <w:tr w:rsidR="008645DF" w:rsidTr="008645DF">
        <w:tc>
          <w:tcPr>
            <w:tcW w:w="2160" w:type="dxa"/>
          </w:tcPr>
          <w:p w:rsidR="008645DF" w:rsidRDefault="008645DF" w:rsidP="008645DF">
            <w:r>
              <w:t>KE3</w:t>
            </w:r>
          </w:p>
        </w:tc>
        <w:tc>
          <w:tcPr>
            <w:tcW w:w="2160" w:type="dxa"/>
          </w:tcPr>
          <w:p w:rsidR="00353120" w:rsidRDefault="008645DF" w:rsidP="00130109">
            <w:pPr>
              <w:ind w:left="0" w:hanging="33"/>
            </w:pPr>
            <w:r>
              <w:t>Dommages à l’ADN /</w:t>
            </w:r>
          </w:p>
          <w:p w:rsidR="008645DF" w:rsidRDefault="008645DF" w:rsidP="00130109">
            <w:pPr>
              <w:ind w:left="0" w:hanging="33"/>
            </w:pPr>
            <w:r>
              <w:t xml:space="preserve"> Anomalies mitotiques</w:t>
            </w:r>
          </w:p>
        </w:tc>
        <w:tc>
          <w:tcPr>
            <w:tcW w:w="2160" w:type="dxa"/>
          </w:tcPr>
          <w:p w:rsidR="008645DF" w:rsidRDefault="008645DF" w:rsidP="008645DF">
            <w:r>
              <w:t>Cellulaire</w:t>
            </w:r>
          </w:p>
        </w:tc>
        <w:tc>
          <w:tcPr>
            <w:tcW w:w="2984" w:type="dxa"/>
          </w:tcPr>
          <w:p w:rsidR="00130109" w:rsidRDefault="008645DF" w:rsidP="00130109">
            <w:pPr>
              <w:ind w:left="41" w:firstLine="0"/>
            </w:pPr>
            <w:r>
              <w:t>Présence accrue de</w:t>
            </w:r>
          </w:p>
          <w:p w:rsidR="00130109" w:rsidRDefault="008645DF" w:rsidP="00130109">
            <w:pPr>
              <w:ind w:left="41" w:firstLine="0"/>
            </w:pPr>
            <w:r>
              <w:t xml:space="preserve"> micronoyaux, perturbations</w:t>
            </w:r>
          </w:p>
          <w:p w:rsidR="00130109" w:rsidRDefault="008645DF" w:rsidP="00130109">
            <w:pPr>
              <w:ind w:left="41" w:firstLine="0"/>
            </w:pPr>
            <w:r>
              <w:t xml:space="preserve"> mitotiques observées</w:t>
            </w:r>
          </w:p>
          <w:p w:rsidR="008645DF" w:rsidRDefault="008645DF" w:rsidP="00130109">
            <w:pPr>
              <w:ind w:left="41" w:firstLine="0"/>
            </w:pPr>
            <w:r>
              <w:t xml:space="preserve"> notamment chez Allium cepa.</w:t>
            </w:r>
          </w:p>
          <w:p w:rsidR="00130109" w:rsidRDefault="00130109" w:rsidP="00130109">
            <w:pPr>
              <w:ind w:left="41" w:firstLine="0"/>
            </w:pPr>
          </w:p>
        </w:tc>
      </w:tr>
      <w:tr w:rsidR="008645DF" w:rsidTr="008645DF">
        <w:tc>
          <w:tcPr>
            <w:tcW w:w="2160" w:type="dxa"/>
          </w:tcPr>
          <w:p w:rsidR="008645DF" w:rsidRDefault="008645DF" w:rsidP="008645DF">
            <w:r>
              <w:t>KE4</w:t>
            </w:r>
          </w:p>
        </w:tc>
        <w:tc>
          <w:tcPr>
            <w:tcW w:w="2160" w:type="dxa"/>
          </w:tcPr>
          <w:p w:rsidR="00353120" w:rsidRDefault="008645DF" w:rsidP="00353120">
            <w:pPr>
              <w:ind w:left="0" w:firstLine="0"/>
            </w:pPr>
            <w:r>
              <w:t>Perturbation des</w:t>
            </w:r>
          </w:p>
          <w:p w:rsidR="008645DF" w:rsidRDefault="008645DF" w:rsidP="00353120">
            <w:pPr>
              <w:ind w:left="0" w:firstLine="0"/>
            </w:pPr>
            <w:r>
              <w:t xml:space="preserve"> processus biochimiques (photosynthèse)</w:t>
            </w:r>
          </w:p>
          <w:p w:rsidR="00353120" w:rsidRDefault="00353120" w:rsidP="00353120">
            <w:pPr>
              <w:ind w:left="0" w:firstLine="0"/>
            </w:pPr>
          </w:p>
        </w:tc>
        <w:tc>
          <w:tcPr>
            <w:tcW w:w="2160" w:type="dxa"/>
          </w:tcPr>
          <w:p w:rsidR="008645DF" w:rsidRDefault="008645DF" w:rsidP="008645DF">
            <w:r>
              <w:t>Organe</w:t>
            </w:r>
          </w:p>
        </w:tc>
        <w:tc>
          <w:tcPr>
            <w:tcW w:w="2984" w:type="dxa"/>
          </w:tcPr>
          <w:p w:rsidR="008645DF" w:rsidRDefault="008645DF" w:rsidP="00353120">
            <w:pPr>
              <w:ind w:left="0" w:firstLine="0"/>
            </w:pPr>
            <w:r>
              <w:t>Altération de la fluorescence chlorophyllienne et de l’efficacité photosynthétique.</w:t>
            </w:r>
          </w:p>
        </w:tc>
      </w:tr>
      <w:tr w:rsidR="008645DF" w:rsidTr="008645DF">
        <w:tc>
          <w:tcPr>
            <w:tcW w:w="2160" w:type="dxa"/>
          </w:tcPr>
          <w:p w:rsidR="008645DF" w:rsidRDefault="008645DF" w:rsidP="008645DF">
            <w:r>
              <w:t>KE5</w:t>
            </w:r>
          </w:p>
        </w:tc>
        <w:tc>
          <w:tcPr>
            <w:tcW w:w="2160" w:type="dxa"/>
          </w:tcPr>
          <w:p w:rsidR="00353120" w:rsidRDefault="008645DF" w:rsidP="00353120">
            <w:pPr>
              <w:ind w:left="0" w:firstLine="0"/>
            </w:pPr>
            <w:r>
              <w:t>Réduction de la</w:t>
            </w:r>
          </w:p>
          <w:p w:rsidR="00353120" w:rsidRDefault="008645DF" w:rsidP="00353120">
            <w:pPr>
              <w:ind w:left="0" w:firstLine="0"/>
            </w:pPr>
            <w:r>
              <w:t xml:space="preserve"> croissance ou</w:t>
            </w:r>
          </w:p>
          <w:p w:rsidR="008645DF" w:rsidRDefault="008645DF" w:rsidP="00353120">
            <w:pPr>
              <w:ind w:left="0" w:firstLine="0"/>
            </w:pPr>
            <w:r>
              <w:t xml:space="preserve"> altération morphologique</w:t>
            </w:r>
          </w:p>
        </w:tc>
        <w:tc>
          <w:tcPr>
            <w:tcW w:w="2160" w:type="dxa"/>
          </w:tcPr>
          <w:p w:rsidR="008645DF" w:rsidRDefault="008645DF" w:rsidP="008645DF">
            <w:r>
              <w:t>Organisme entier</w:t>
            </w:r>
          </w:p>
        </w:tc>
        <w:tc>
          <w:tcPr>
            <w:tcW w:w="2984" w:type="dxa"/>
          </w:tcPr>
          <w:p w:rsidR="008645DF" w:rsidRDefault="008645DF" w:rsidP="00353120">
            <w:pPr>
              <w:ind w:left="0" w:firstLine="0"/>
            </w:pPr>
            <w:r>
              <w:t>Réduction de la biomasse, floraison accélérée, anomalies du développement observées chez Lactuca sativa et Vicia faba.</w:t>
            </w:r>
          </w:p>
        </w:tc>
      </w:tr>
    </w:tbl>
    <w:p w:rsidR="008645DF" w:rsidRPr="006C115C" w:rsidRDefault="008645DF" w:rsidP="008645DF">
      <w:pPr>
        <w:pStyle w:val="Titre1"/>
        <w:rPr>
          <w:color w:val="auto"/>
          <w:sz w:val="22"/>
          <w:szCs w:val="22"/>
        </w:rPr>
      </w:pPr>
      <w:r w:rsidRPr="006C115C">
        <w:rPr>
          <w:color w:val="auto"/>
          <w:sz w:val="22"/>
          <w:szCs w:val="22"/>
        </w:rPr>
        <w:t>3. Adverse Outcome (AO)</w:t>
      </w:r>
    </w:p>
    <w:p w:rsidR="008645DF" w:rsidRDefault="008645DF" w:rsidP="008645DF">
      <w:pPr>
        <w:ind w:firstLine="360"/>
      </w:pPr>
      <w:r>
        <w:t>• Titre : Altérations du développement et de la vitalité des plantes</w:t>
      </w:r>
    </w:p>
    <w:p w:rsidR="008645DF" w:rsidRDefault="008645DF" w:rsidP="008645DF">
      <w:pPr>
        <w:ind w:firstLine="360"/>
      </w:pPr>
      <w:r>
        <w:t>• Description : Réduction de la croissance, anomalies morphologiques, dysfonctionnement photosynthétique, pouvant affecter la santé de la plante.</w:t>
      </w:r>
    </w:p>
    <w:p w:rsidR="008645DF" w:rsidRDefault="008645DF" w:rsidP="008645DF">
      <w:pPr>
        <w:ind w:firstLine="360"/>
      </w:pPr>
      <w:r>
        <w:t>• Niveau biologique : Organisme</w:t>
      </w:r>
    </w:p>
    <w:p w:rsidR="008645DF" w:rsidRPr="006C115C" w:rsidRDefault="008645DF" w:rsidP="008645DF">
      <w:pPr>
        <w:pStyle w:val="Titre1"/>
        <w:rPr>
          <w:color w:val="auto"/>
          <w:sz w:val="22"/>
          <w:szCs w:val="22"/>
        </w:rPr>
      </w:pPr>
      <w:r w:rsidRPr="006C115C">
        <w:rPr>
          <w:color w:val="auto"/>
          <w:sz w:val="22"/>
          <w:szCs w:val="22"/>
        </w:rPr>
        <w:t>4. Key Event Relationships (KERs)</w:t>
      </w:r>
    </w:p>
    <w:tbl>
      <w:tblPr>
        <w:tblW w:w="0" w:type="auto"/>
        <w:tblLook w:val="04A0"/>
      </w:tblPr>
      <w:tblGrid>
        <w:gridCol w:w="2160"/>
        <w:gridCol w:w="2160"/>
        <w:gridCol w:w="2160"/>
        <w:gridCol w:w="3126"/>
      </w:tblGrid>
      <w:tr w:rsidR="008645DF" w:rsidTr="008645DF">
        <w:tc>
          <w:tcPr>
            <w:tcW w:w="2160" w:type="dxa"/>
          </w:tcPr>
          <w:p w:rsidR="008645DF" w:rsidRDefault="008645DF" w:rsidP="008645DF">
            <w:r>
              <w:t>Relation</w:t>
            </w:r>
          </w:p>
        </w:tc>
        <w:tc>
          <w:tcPr>
            <w:tcW w:w="2160" w:type="dxa"/>
          </w:tcPr>
          <w:p w:rsidR="008645DF" w:rsidRDefault="008645DF" w:rsidP="008645DF">
            <w:r>
              <w:t>De (KE)</w:t>
            </w:r>
          </w:p>
        </w:tc>
        <w:tc>
          <w:tcPr>
            <w:tcW w:w="2160" w:type="dxa"/>
          </w:tcPr>
          <w:p w:rsidR="008645DF" w:rsidRDefault="008645DF" w:rsidP="008645DF">
            <w:r>
              <w:t>Vers (KE)</w:t>
            </w:r>
          </w:p>
        </w:tc>
        <w:tc>
          <w:tcPr>
            <w:tcW w:w="3126" w:type="dxa"/>
          </w:tcPr>
          <w:p w:rsidR="008645DF" w:rsidRDefault="008645DF" w:rsidP="008645DF">
            <w:r>
              <w:t>Justification biologique</w:t>
            </w:r>
          </w:p>
        </w:tc>
      </w:tr>
      <w:tr w:rsidR="00353120" w:rsidTr="008645DF">
        <w:tc>
          <w:tcPr>
            <w:tcW w:w="2160" w:type="dxa"/>
          </w:tcPr>
          <w:p w:rsidR="00353120" w:rsidRDefault="00353120" w:rsidP="008645DF"/>
        </w:tc>
        <w:tc>
          <w:tcPr>
            <w:tcW w:w="2160" w:type="dxa"/>
          </w:tcPr>
          <w:p w:rsidR="00353120" w:rsidRDefault="00353120" w:rsidP="008645DF"/>
        </w:tc>
        <w:tc>
          <w:tcPr>
            <w:tcW w:w="2160" w:type="dxa"/>
          </w:tcPr>
          <w:p w:rsidR="00353120" w:rsidRDefault="00353120" w:rsidP="008645DF"/>
        </w:tc>
        <w:tc>
          <w:tcPr>
            <w:tcW w:w="3126" w:type="dxa"/>
          </w:tcPr>
          <w:p w:rsidR="00353120" w:rsidRDefault="00353120" w:rsidP="00353120">
            <w:pPr>
              <w:ind w:left="0" w:firstLine="0"/>
            </w:pPr>
          </w:p>
        </w:tc>
      </w:tr>
      <w:tr w:rsidR="008645DF" w:rsidTr="008645DF">
        <w:tc>
          <w:tcPr>
            <w:tcW w:w="2160" w:type="dxa"/>
          </w:tcPr>
          <w:p w:rsidR="008645DF" w:rsidRDefault="008645DF" w:rsidP="008645DF">
            <w:r>
              <w:t>KER1</w:t>
            </w:r>
          </w:p>
        </w:tc>
        <w:tc>
          <w:tcPr>
            <w:tcW w:w="2160" w:type="dxa"/>
          </w:tcPr>
          <w:p w:rsidR="008645DF" w:rsidRDefault="008645DF" w:rsidP="008645DF">
            <w:r>
              <w:t>MIE</w:t>
            </w:r>
          </w:p>
        </w:tc>
        <w:tc>
          <w:tcPr>
            <w:tcW w:w="2160" w:type="dxa"/>
          </w:tcPr>
          <w:p w:rsidR="008645DF" w:rsidRDefault="008645DF" w:rsidP="008645DF">
            <w:r>
              <w:t>KE1</w:t>
            </w:r>
          </w:p>
        </w:tc>
        <w:tc>
          <w:tcPr>
            <w:tcW w:w="3126" w:type="dxa"/>
          </w:tcPr>
          <w:p w:rsidR="008645DF" w:rsidRDefault="008645DF" w:rsidP="00353120">
            <w:pPr>
              <w:ind w:left="41" w:firstLine="0"/>
            </w:pPr>
            <w:r>
              <w:t xml:space="preserve">Les RF-EMF stimulent la génération de ROS dans les </w:t>
            </w:r>
            <w:r>
              <w:lastRenderedPageBreak/>
              <w:t>tissus végétaux.</w:t>
            </w:r>
          </w:p>
        </w:tc>
      </w:tr>
      <w:tr w:rsidR="008645DF" w:rsidTr="008645DF">
        <w:tc>
          <w:tcPr>
            <w:tcW w:w="2160" w:type="dxa"/>
          </w:tcPr>
          <w:p w:rsidR="008645DF" w:rsidRDefault="008645DF" w:rsidP="008645DF">
            <w:r>
              <w:lastRenderedPageBreak/>
              <w:t>KER2</w:t>
            </w:r>
          </w:p>
        </w:tc>
        <w:tc>
          <w:tcPr>
            <w:tcW w:w="2160" w:type="dxa"/>
          </w:tcPr>
          <w:p w:rsidR="008645DF" w:rsidRDefault="008645DF" w:rsidP="008645DF">
            <w:r>
              <w:t>KE1</w:t>
            </w:r>
          </w:p>
        </w:tc>
        <w:tc>
          <w:tcPr>
            <w:tcW w:w="2160" w:type="dxa"/>
          </w:tcPr>
          <w:p w:rsidR="008645DF" w:rsidRDefault="008645DF" w:rsidP="008645DF">
            <w:r>
              <w:t>KE2</w:t>
            </w:r>
          </w:p>
        </w:tc>
        <w:tc>
          <w:tcPr>
            <w:tcW w:w="3126" w:type="dxa"/>
          </w:tcPr>
          <w:p w:rsidR="008645DF" w:rsidRDefault="008645DF" w:rsidP="00353120">
            <w:pPr>
              <w:ind w:left="41" w:hanging="41"/>
            </w:pPr>
            <w:r>
              <w:t>La présence de ROS en excès conduit à un stress oxydatif cellulaire.</w:t>
            </w:r>
          </w:p>
          <w:p w:rsidR="00353120" w:rsidRDefault="00353120" w:rsidP="00353120">
            <w:pPr>
              <w:ind w:left="41" w:hanging="41"/>
            </w:pPr>
          </w:p>
        </w:tc>
      </w:tr>
      <w:tr w:rsidR="008645DF" w:rsidTr="008645DF">
        <w:tc>
          <w:tcPr>
            <w:tcW w:w="2160" w:type="dxa"/>
          </w:tcPr>
          <w:p w:rsidR="008645DF" w:rsidRDefault="008645DF" w:rsidP="008645DF">
            <w:r>
              <w:t>KER3</w:t>
            </w:r>
          </w:p>
        </w:tc>
        <w:tc>
          <w:tcPr>
            <w:tcW w:w="2160" w:type="dxa"/>
          </w:tcPr>
          <w:p w:rsidR="008645DF" w:rsidRDefault="008645DF" w:rsidP="008645DF">
            <w:r>
              <w:t>KE2</w:t>
            </w:r>
          </w:p>
        </w:tc>
        <w:tc>
          <w:tcPr>
            <w:tcW w:w="2160" w:type="dxa"/>
          </w:tcPr>
          <w:p w:rsidR="008645DF" w:rsidRDefault="008645DF" w:rsidP="008645DF">
            <w:r>
              <w:t>KE3</w:t>
            </w:r>
          </w:p>
        </w:tc>
        <w:tc>
          <w:tcPr>
            <w:tcW w:w="3126" w:type="dxa"/>
          </w:tcPr>
          <w:p w:rsidR="008645DF" w:rsidRDefault="008645DF" w:rsidP="00353120">
            <w:pPr>
              <w:ind w:left="41" w:firstLine="0"/>
            </w:pPr>
            <w:r>
              <w:t>Le stress oxydatif peut entraîner des dommages à l’ADN et des anomalies mitotiques.</w:t>
            </w:r>
          </w:p>
          <w:p w:rsidR="00353120" w:rsidRDefault="00353120" w:rsidP="00353120">
            <w:pPr>
              <w:ind w:left="41" w:firstLine="0"/>
            </w:pPr>
          </w:p>
        </w:tc>
      </w:tr>
      <w:tr w:rsidR="008645DF" w:rsidTr="008645DF">
        <w:tc>
          <w:tcPr>
            <w:tcW w:w="2160" w:type="dxa"/>
          </w:tcPr>
          <w:p w:rsidR="008645DF" w:rsidRDefault="008645DF" w:rsidP="008645DF">
            <w:r>
              <w:t>KER4</w:t>
            </w:r>
          </w:p>
        </w:tc>
        <w:tc>
          <w:tcPr>
            <w:tcW w:w="2160" w:type="dxa"/>
          </w:tcPr>
          <w:p w:rsidR="008645DF" w:rsidRDefault="008645DF" w:rsidP="008645DF">
            <w:r>
              <w:t>KE2</w:t>
            </w:r>
          </w:p>
        </w:tc>
        <w:tc>
          <w:tcPr>
            <w:tcW w:w="2160" w:type="dxa"/>
          </w:tcPr>
          <w:p w:rsidR="008645DF" w:rsidRDefault="008645DF" w:rsidP="008645DF">
            <w:r>
              <w:t>KE4</w:t>
            </w:r>
          </w:p>
        </w:tc>
        <w:tc>
          <w:tcPr>
            <w:tcW w:w="3126" w:type="dxa"/>
          </w:tcPr>
          <w:p w:rsidR="00353120" w:rsidRDefault="008645DF" w:rsidP="00353120">
            <w:pPr>
              <w:ind w:left="41" w:firstLine="0"/>
            </w:pPr>
            <w:r>
              <w:t xml:space="preserve">Les ROS altèrent les composants chlorophylliens, réduisant l'efficacité </w:t>
            </w:r>
          </w:p>
          <w:p w:rsidR="008645DF" w:rsidRDefault="008645DF" w:rsidP="00353120">
            <w:pPr>
              <w:ind w:left="41" w:firstLine="0"/>
            </w:pPr>
            <w:r>
              <w:t>photosynthétique.</w:t>
            </w:r>
          </w:p>
          <w:p w:rsidR="00353120" w:rsidRDefault="00353120" w:rsidP="00353120">
            <w:pPr>
              <w:ind w:left="41" w:firstLine="0"/>
            </w:pPr>
          </w:p>
        </w:tc>
      </w:tr>
      <w:tr w:rsidR="008645DF" w:rsidTr="008645DF">
        <w:tc>
          <w:tcPr>
            <w:tcW w:w="2160" w:type="dxa"/>
          </w:tcPr>
          <w:p w:rsidR="008645DF" w:rsidRDefault="008645DF" w:rsidP="008645DF">
            <w:r>
              <w:t>KER5</w:t>
            </w:r>
          </w:p>
        </w:tc>
        <w:tc>
          <w:tcPr>
            <w:tcW w:w="2160" w:type="dxa"/>
          </w:tcPr>
          <w:p w:rsidR="008645DF" w:rsidRDefault="008645DF" w:rsidP="008645DF">
            <w:r>
              <w:t>KE4</w:t>
            </w:r>
          </w:p>
        </w:tc>
        <w:tc>
          <w:tcPr>
            <w:tcW w:w="2160" w:type="dxa"/>
          </w:tcPr>
          <w:p w:rsidR="008645DF" w:rsidRDefault="008645DF" w:rsidP="008645DF">
            <w:r>
              <w:t>KE5</w:t>
            </w:r>
          </w:p>
        </w:tc>
        <w:tc>
          <w:tcPr>
            <w:tcW w:w="3126" w:type="dxa"/>
          </w:tcPr>
          <w:p w:rsidR="008645DF" w:rsidRDefault="008645DF" w:rsidP="00353120">
            <w:pPr>
              <w:ind w:left="41" w:firstLine="0"/>
            </w:pPr>
            <w:r>
              <w:t>Une photosynthèse inefficace conduit à une croissance réduite et à des anomalies morphologiques.</w:t>
            </w:r>
          </w:p>
          <w:p w:rsidR="00353120" w:rsidRDefault="00353120" w:rsidP="00353120">
            <w:pPr>
              <w:ind w:left="41" w:firstLine="0"/>
            </w:pPr>
          </w:p>
        </w:tc>
      </w:tr>
      <w:tr w:rsidR="008645DF" w:rsidTr="008645DF">
        <w:tc>
          <w:tcPr>
            <w:tcW w:w="2160" w:type="dxa"/>
          </w:tcPr>
          <w:p w:rsidR="008645DF" w:rsidRDefault="008645DF" w:rsidP="008645DF">
            <w:r>
              <w:t>KER6</w:t>
            </w:r>
          </w:p>
        </w:tc>
        <w:tc>
          <w:tcPr>
            <w:tcW w:w="2160" w:type="dxa"/>
          </w:tcPr>
          <w:p w:rsidR="008645DF" w:rsidRDefault="008645DF" w:rsidP="008645DF">
            <w:r>
              <w:t>KE3</w:t>
            </w:r>
          </w:p>
        </w:tc>
        <w:tc>
          <w:tcPr>
            <w:tcW w:w="2160" w:type="dxa"/>
          </w:tcPr>
          <w:p w:rsidR="008645DF" w:rsidRDefault="008645DF" w:rsidP="008645DF">
            <w:r>
              <w:t>KE5</w:t>
            </w:r>
          </w:p>
        </w:tc>
        <w:tc>
          <w:tcPr>
            <w:tcW w:w="3126" w:type="dxa"/>
          </w:tcPr>
          <w:p w:rsidR="008645DF" w:rsidRDefault="008645DF" w:rsidP="00353120">
            <w:pPr>
              <w:ind w:left="41" w:firstLine="0"/>
            </w:pPr>
            <w:r>
              <w:t>Des anomalies mitotiques affectent le développement normal des cellules végétales.</w:t>
            </w:r>
          </w:p>
        </w:tc>
      </w:tr>
    </w:tbl>
    <w:p w:rsidR="008645DF" w:rsidRPr="006C115C" w:rsidRDefault="008645DF" w:rsidP="008645DF">
      <w:pPr>
        <w:pStyle w:val="Titre1"/>
        <w:rPr>
          <w:color w:val="auto"/>
          <w:sz w:val="22"/>
          <w:szCs w:val="22"/>
        </w:rPr>
      </w:pPr>
      <w:r w:rsidRPr="006C115C">
        <w:rPr>
          <w:color w:val="auto"/>
          <w:sz w:val="22"/>
          <w:szCs w:val="22"/>
        </w:rPr>
        <w:t>5. Applicabilité taxonomique</w:t>
      </w:r>
    </w:p>
    <w:p w:rsidR="008645DF" w:rsidRDefault="008645DF" w:rsidP="008645DF">
      <w:pPr>
        <w:pStyle w:val="Paragraphedeliste"/>
      </w:pPr>
      <w:r>
        <w:t>• Espèces : Lactuca sativa, Allium cepa, Vicia faba, Lemna minor, Myriophyllum aquaticum</w:t>
      </w:r>
    </w:p>
    <w:p w:rsidR="008645DF" w:rsidRDefault="008645DF" w:rsidP="008645DF">
      <w:pPr>
        <w:pStyle w:val="Paragraphedeliste"/>
      </w:pPr>
      <w:r>
        <w:t>• Justification : Études expérimentales rapportées dans des publications scientifiques entre 2008 et 2023.</w:t>
      </w:r>
    </w:p>
    <w:p w:rsidR="008645DF" w:rsidRPr="006C115C" w:rsidRDefault="008645DF" w:rsidP="008645DF">
      <w:pPr>
        <w:pStyle w:val="Titre1"/>
        <w:rPr>
          <w:color w:val="auto"/>
          <w:sz w:val="22"/>
          <w:szCs w:val="22"/>
        </w:rPr>
      </w:pPr>
      <w:r w:rsidRPr="006C115C">
        <w:rPr>
          <w:color w:val="auto"/>
          <w:sz w:val="22"/>
          <w:szCs w:val="22"/>
        </w:rPr>
        <w:t>6. Applicabilité selon le stade de vie</w:t>
      </w:r>
    </w:p>
    <w:p w:rsidR="008645DF" w:rsidRDefault="008645DF" w:rsidP="008645DF">
      <w:pPr>
        <w:pStyle w:val="Paragraphedeliste"/>
      </w:pPr>
      <w:r>
        <w:t>• Germination, développement végétatif, floraison</w:t>
      </w:r>
    </w:p>
    <w:p w:rsidR="008645DF" w:rsidRPr="006C115C" w:rsidRDefault="008645DF" w:rsidP="008645DF">
      <w:pPr>
        <w:pStyle w:val="Titre1"/>
        <w:rPr>
          <w:color w:val="auto"/>
          <w:sz w:val="22"/>
          <w:szCs w:val="22"/>
        </w:rPr>
      </w:pPr>
      <w:r w:rsidRPr="006C115C">
        <w:rPr>
          <w:color w:val="auto"/>
          <w:sz w:val="22"/>
          <w:szCs w:val="22"/>
        </w:rPr>
        <w:t>7. Applicabilité selon l’environnement</w:t>
      </w:r>
    </w:p>
    <w:p w:rsidR="008645DF" w:rsidRDefault="008645DF" w:rsidP="008645DF">
      <w:pPr>
        <w:pStyle w:val="Paragraphedeliste"/>
      </w:pPr>
      <w:r>
        <w:t>• Milieux intérieurs et extérieurs</w:t>
      </w:r>
    </w:p>
    <w:p w:rsidR="008645DF" w:rsidRPr="006C115C" w:rsidRDefault="008645DF" w:rsidP="008645DF">
      <w:pPr>
        <w:pStyle w:val="Titre1"/>
        <w:rPr>
          <w:color w:val="auto"/>
          <w:sz w:val="22"/>
          <w:szCs w:val="22"/>
        </w:rPr>
      </w:pPr>
      <w:r w:rsidRPr="006C115C">
        <w:rPr>
          <w:color w:val="auto"/>
          <w:sz w:val="22"/>
          <w:szCs w:val="22"/>
        </w:rPr>
        <w:t>8. Preuves soutenant le mécanisme</w:t>
      </w:r>
    </w:p>
    <w:p w:rsidR="008645DF" w:rsidRDefault="008645DF" w:rsidP="008645DF">
      <w:pPr>
        <w:pStyle w:val="Paragraphedeliste"/>
      </w:pPr>
      <w:r>
        <w:t>• Poids global de la preuve : Modéré – plusieurs études indépendantes rapportent des effets similaires.</w:t>
      </w:r>
    </w:p>
    <w:p w:rsidR="008645DF" w:rsidRDefault="008645DF" w:rsidP="00353120">
      <w:pPr>
        <w:pStyle w:val="Paragraphedeliste"/>
        <w:ind w:left="0" w:firstLine="0"/>
      </w:pPr>
      <w:r>
        <w:t>• Compréhension quantitative : Faible à modérée – besoin d’études dose-réponse pour différentes espèces et fréquences.</w:t>
      </w:r>
    </w:p>
    <w:p w:rsidR="008645DF" w:rsidRPr="006C115C" w:rsidRDefault="008645DF" w:rsidP="008645DF">
      <w:pPr>
        <w:pStyle w:val="Titre1"/>
        <w:rPr>
          <w:color w:val="auto"/>
          <w:sz w:val="22"/>
          <w:szCs w:val="22"/>
        </w:rPr>
      </w:pPr>
      <w:r w:rsidRPr="006C115C">
        <w:rPr>
          <w:color w:val="auto"/>
          <w:sz w:val="22"/>
          <w:szCs w:val="22"/>
        </w:rPr>
        <w:t>9. Références principales</w:t>
      </w:r>
    </w:p>
    <w:p w:rsidR="00353120" w:rsidRDefault="008645DF" w:rsidP="00353120">
      <w:pPr>
        <w:ind w:left="0" w:firstLine="0"/>
      </w:pPr>
      <w:r>
        <w:t>- Kumar et al. (2013), Journal of Applied and Natural Science</w:t>
      </w:r>
    </w:p>
    <w:p w:rsidR="00353120" w:rsidRDefault="008645DF" w:rsidP="00353120">
      <w:pPr>
        <w:ind w:left="0" w:firstLine="0"/>
      </w:pPr>
      <w:r>
        <w:t>- Balmori (2015), Electromagnetic Biology and Medicine</w:t>
      </w:r>
    </w:p>
    <w:p w:rsidR="00353120" w:rsidRDefault="008645DF" w:rsidP="00353120">
      <w:pPr>
        <w:ind w:left="0" w:firstLine="0"/>
      </w:pPr>
      <w:r>
        <w:t>- Roux et al. (2008), Plant Signaling &amp; Behavior</w:t>
      </w:r>
    </w:p>
    <w:p w:rsidR="00353120" w:rsidRDefault="008645DF" w:rsidP="00353120">
      <w:pPr>
        <w:ind w:left="0" w:firstLine="0"/>
      </w:pPr>
      <w:r>
        <w:t>- Lázaro et al. (2022), Environmental Pollution</w:t>
      </w:r>
    </w:p>
    <w:p w:rsidR="008645DF" w:rsidRDefault="008645DF" w:rsidP="00353120">
      <w:pPr>
        <w:ind w:left="0" w:firstLine="0"/>
      </w:pPr>
      <w:r>
        <w:t>- Vian et al. (2016), Journal of Plant Physiology</w:t>
      </w:r>
    </w:p>
    <w:p w:rsidR="00353120" w:rsidRDefault="00353120" w:rsidP="00353120">
      <w:pPr>
        <w:ind w:left="0" w:firstLine="0"/>
      </w:pPr>
    </w:p>
    <w:p w:rsidR="00353120" w:rsidRDefault="00353120" w:rsidP="00353120">
      <w:pPr>
        <w:ind w:left="0" w:firstLine="0"/>
      </w:pPr>
    </w:p>
    <w:p w:rsidR="00353120" w:rsidRDefault="00353120" w:rsidP="00353120">
      <w:pPr>
        <w:ind w:left="0" w:firstLine="0"/>
      </w:pPr>
    </w:p>
    <w:p w:rsidR="008645DF" w:rsidRDefault="008645DF" w:rsidP="009F3BB0">
      <w:pPr>
        <w:pStyle w:val="Paragraphedeliste"/>
        <w:numPr>
          <w:ilvl w:val="0"/>
          <w:numId w:val="20"/>
        </w:numPr>
        <w:spacing w:before="100" w:beforeAutospacing="1" w:after="100" w:afterAutospacing="1"/>
        <w:jc w:val="left"/>
      </w:pPr>
      <w:r>
        <w:lastRenderedPageBreak/>
        <w:t>Proposition d’AOP pour les effets biologiques des radiofréquences sur les abeilles :</w:t>
      </w:r>
    </w:p>
    <w:p w:rsidR="008645DF" w:rsidRPr="00560BA9" w:rsidRDefault="008645DF" w:rsidP="008645DF">
      <w:pPr>
        <w:spacing w:before="100" w:beforeAutospacing="1" w:after="100" w:afterAutospacing="1"/>
        <w:rPr>
          <w:b/>
          <w:u w:val="single"/>
        </w:rPr>
      </w:pPr>
      <w:r w:rsidRPr="00560BA9">
        <w:rPr>
          <w:b/>
          <w:u w:val="single"/>
        </w:rPr>
        <w:t>Effets des radiations de téléphonie mobile sur la physiologie des abeilles</w:t>
      </w:r>
    </w:p>
    <w:p w:rsidR="008645DF" w:rsidRPr="00560BA9" w:rsidRDefault="008645DF" w:rsidP="008645DF">
      <w:pPr>
        <w:pStyle w:val="Titre1"/>
        <w:rPr>
          <w:color w:val="auto"/>
          <w:sz w:val="22"/>
          <w:szCs w:val="22"/>
        </w:rPr>
      </w:pPr>
      <w:r w:rsidRPr="00560BA9">
        <w:rPr>
          <w:color w:val="auto"/>
          <w:sz w:val="22"/>
          <w:szCs w:val="22"/>
        </w:rPr>
        <w:t>1. Molecular Initiating Event (MIE)</w:t>
      </w:r>
    </w:p>
    <w:p w:rsidR="008645DF" w:rsidRDefault="008645DF" w:rsidP="008645DF">
      <w:pPr>
        <w:pStyle w:val="Paragraphedeliste"/>
      </w:pPr>
      <w:r>
        <w:t>• Titre : Absorption de radiations électromagnétiques (EM)</w:t>
      </w:r>
    </w:p>
    <w:p w:rsidR="008645DF" w:rsidRDefault="008645DF" w:rsidP="008645DF">
      <w:pPr>
        <w:pStyle w:val="Paragraphedeliste"/>
      </w:pPr>
      <w:r>
        <w:t>• Description : Exposition aiguë ou chronique à des radiations EM (900–1800 MHz), typiquement émises par des téléphones portables.</w:t>
      </w:r>
    </w:p>
    <w:p w:rsidR="008645DF" w:rsidRDefault="008645DF" w:rsidP="008645DF">
      <w:pPr>
        <w:pStyle w:val="Paragraphedeliste"/>
      </w:pPr>
      <w:r>
        <w:t>• Taxa concerné : Apis mellifera (abeille domestique)</w:t>
      </w:r>
    </w:p>
    <w:p w:rsidR="008645DF" w:rsidRDefault="008645DF" w:rsidP="008645DF">
      <w:pPr>
        <w:pStyle w:val="Paragraphedeliste"/>
      </w:pPr>
      <w:r>
        <w:t>• Niveau biologique : Moléculaire</w:t>
      </w:r>
    </w:p>
    <w:p w:rsidR="008645DF" w:rsidRPr="00560BA9" w:rsidRDefault="008645DF" w:rsidP="008645DF">
      <w:pPr>
        <w:pStyle w:val="Titre1"/>
        <w:rPr>
          <w:color w:val="auto"/>
          <w:sz w:val="22"/>
          <w:szCs w:val="22"/>
        </w:rPr>
      </w:pPr>
      <w:r w:rsidRPr="00560BA9">
        <w:rPr>
          <w:color w:val="auto"/>
          <w:sz w:val="22"/>
          <w:szCs w:val="22"/>
        </w:rPr>
        <w:t>2. Key Events (KEs)</w:t>
      </w:r>
    </w:p>
    <w:tbl>
      <w:tblPr>
        <w:tblW w:w="0" w:type="auto"/>
        <w:tblLook w:val="04A0"/>
      </w:tblPr>
      <w:tblGrid>
        <w:gridCol w:w="2160"/>
        <w:gridCol w:w="2160"/>
        <w:gridCol w:w="2160"/>
        <w:gridCol w:w="3126"/>
      </w:tblGrid>
      <w:tr w:rsidR="008645DF" w:rsidTr="008645DF">
        <w:tc>
          <w:tcPr>
            <w:tcW w:w="2160" w:type="dxa"/>
          </w:tcPr>
          <w:p w:rsidR="008645DF" w:rsidRDefault="008645DF" w:rsidP="008645DF">
            <w:r>
              <w:t>Numéro</w:t>
            </w:r>
          </w:p>
        </w:tc>
        <w:tc>
          <w:tcPr>
            <w:tcW w:w="2160" w:type="dxa"/>
          </w:tcPr>
          <w:p w:rsidR="008645DF" w:rsidRDefault="008645DF" w:rsidP="00353120">
            <w:pPr>
              <w:ind w:left="0" w:firstLine="0"/>
            </w:pPr>
            <w:r>
              <w:t>Titre du KE</w:t>
            </w:r>
          </w:p>
        </w:tc>
        <w:tc>
          <w:tcPr>
            <w:tcW w:w="2160" w:type="dxa"/>
          </w:tcPr>
          <w:p w:rsidR="008645DF" w:rsidRDefault="008645DF" w:rsidP="00353120">
            <w:pPr>
              <w:ind w:left="0" w:firstLine="0"/>
            </w:pPr>
            <w:r>
              <w:t>Niveau biologique</w:t>
            </w:r>
          </w:p>
        </w:tc>
        <w:tc>
          <w:tcPr>
            <w:tcW w:w="3126" w:type="dxa"/>
          </w:tcPr>
          <w:p w:rsidR="008645DF" w:rsidRDefault="008645DF" w:rsidP="00353120">
            <w:pPr>
              <w:ind w:left="0" w:firstLine="0"/>
            </w:pPr>
            <w:r>
              <w:t>Description</w:t>
            </w:r>
          </w:p>
          <w:p w:rsidR="00353120" w:rsidRDefault="00353120" w:rsidP="00353120">
            <w:pPr>
              <w:ind w:left="0" w:firstLine="0"/>
            </w:pPr>
          </w:p>
        </w:tc>
      </w:tr>
      <w:tr w:rsidR="008645DF" w:rsidTr="008645DF">
        <w:tc>
          <w:tcPr>
            <w:tcW w:w="2160" w:type="dxa"/>
          </w:tcPr>
          <w:p w:rsidR="008645DF" w:rsidRDefault="008645DF" w:rsidP="008645DF">
            <w:r>
              <w:t>KE1</w:t>
            </w:r>
          </w:p>
        </w:tc>
        <w:tc>
          <w:tcPr>
            <w:tcW w:w="2160" w:type="dxa"/>
          </w:tcPr>
          <w:p w:rsidR="00353120" w:rsidRDefault="008645DF" w:rsidP="00353120">
            <w:pPr>
              <w:ind w:left="0" w:firstLine="0"/>
            </w:pPr>
            <w:r>
              <w:t>Induction de stress</w:t>
            </w:r>
          </w:p>
          <w:p w:rsidR="008645DF" w:rsidRDefault="008645DF" w:rsidP="00353120">
            <w:pPr>
              <w:ind w:left="0" w:firstLine="0"/>
            </w:pPr>
            <w:r>
              <w:t xml:space="preserve"> oxydatif</w:t>
            </w:r>
          </w:p>
        </w:tc>
        <w:tc>
          <w:tcPr>
            <w:tcW w:w="2160" w:type="dxa"/>
          </w:tcPr>
          <w:p w:rsidR="008645DF" w:rsidRDefault="008645DF" w:rsidP="00353120">
            <w:pPr>
              <w:ind w:left="0" w:firstLine="0"/>
            </w:pPr>
            <w:r>
              <w:t>Cellulaire</w:t>
            </w:r>
          </w:p>
        </w:tc>
        <w:tc>
          <w:tcPr>
            <w:tcW w:w="3126" w:type="dxa"/>
          </w:tcPr>
          <w:p w:rsidR="008645DF" w:rsidRDefault="008645DF" w:rsidP="00353120">
            <w:pPr>
              <w:ind w:left="0" w:firstLine="0"/>
            </w:pPr>
            <w:r>
              <w:t>Augmentation des ROS entraînant un stress oxydatif dans les cellules.</w:t>
            </w:r>
          </w:p>
          <w:p w:rsidR="00353120" w:rsidRDefault="00353120" w:rsidP="00353120">
            <w:pPr>
              <w:ind w:left="0" w:firstLine="0"/>
            </w:pPr>
          </w:p>
        </w:tc>
      </w:tr>
      <w:tr w:rsidR="008645DF" w:rsidTr="008645DF">
        <w:tc>
          <w:tcPr>
            <w:tcW w:w="2160" w:type="dxa"/>
          </w:tcPr>
          <w:p w:rsidR="008645DF" w:rsidRDefault="008645DF" w:rsidP="008645DF">
            <w:r>
              <w:t>KE2</w:t>
            </w:r>
          </w:p>
        </w:tc>
        <w:tc>
          <w:tcPr>
            <w:tcW w:w="2160" w:type="dxa"/>
          </w:tcPr>
          <w:p w:rsidR="008645DF" w:rsidRDefault="008645DF" w:rsidP="00353120">
            <w:pPr>
              <w:ind w:left="0" w:firstLine="0"/>
            </w:pPr>
            <w:r>
              <w:t>Altérations métaboliques</w:t>
            </w:r>
          </w:p>
        </w:tc>
        <w:tc>
          <w:tcPr>
            <w:tcW w:w="2160" w:type="dxa"/>
          </w:tcPr>
          <w:p w:rsidR="00353120" w:rsidRDefault="008645DF" w:rsidP="00353120">
            <w:pPr>
              <w:ind w:left="0" w:firstLine="0"/>
            </w:pPr>
            <w:r>
              <w:t>Cellulaire /</w:t>
            </w:r>
          </w:p>
          <w:p w:rsidR="008645DF" w:rsidRDefault="008645DF" w:rsidP="00353120">
            <w:pPr>
              <w:ind w:left="0" w:firstLine="0"/>
            </w:pPr>
            <w:r>
              <w:t>Hémolymphe</w:t>
            </w:r>
          </w:p>
        </w:tc>
        <w:tc>
          <w:tcPr>
            <w:tcW w:w="3126" w:type="dxa"/>
          </w:tcPr>
          <w:p w:rsidR="008645DF" w:rsidRDefault="008645DF" w:rsidP="00353120">
            <w:pPr>
              <w:ind w:left="0" w:firstLine="0"/>
            </w:pPr>
            <w:r>
              <w:t>Perturbations des enzymes métaboliques dans la lymphe.</w:t>
            </w:r>
          </w:p>
          <w:p w:rsidR="00353120" w:rsidRDefault="00353120" w:rsidP="00353120">
            <w:pPr>
              <w:ind w:left="0" w:firstLine="0"/>
            </w:pPr>
          </w:p>
        </w:tc>
      </w:tr>
      <w:tr w:rsidR="008645DF" w:rsidTr="008645DF">
        <w:tc>
          <w:tcPr>
            <w:tcW w:w="2160" w:type="dxa"/>
          </w:tcPr>
          <w:p w:rsidR="008645DF" w:rsidRDefault="008645DF" w:rsidP="008645DF">
            <w:r>
              <w:t>KE3</w:t>
            </w:r>
          </w:p>
        </w:tc>
        <w:tc>
          <w:tcPr>
            <w:tcW w:w="2160" w:type="dxa"/>
          </w:tcPr>
          <w:p w:rsidR="00353120" w:rsidRDefault="008645DF" w:rsidP="00353120">
            <w:pPr>
              <w:ind w:left="0" w:firstLine="0"/>
            </w:pPr>
            <w:r>
              <w:t>Changements biochimiques mesurés dans la</w:t>
            </w:r>
          </w:p>
          <w:p w:rsidR="008645DF" w:rsidRDefault="008645DF" w:rsidP="00353120">
            <w:pPr>
              <w:ind w:left="0" w:firstLine="0"/>
            </w:pPr>
            <w:r>
              <w:t xml:space="preserve"> lymphe</w:t>
            </w:r>
          </w:p>
        </w:tc>
        <w:tc>
          <w:tcPr>
            <w:tcW w:w="2160" w:type="dxa"/>
          </w:tcPr>
          <w:p w:rsidR="008645DF" w:rsidRDefault="008645DF" w:rsidP="00353120">
            <w:pPr>
              <w:ind w:left="0" w:firstLine="0"/>
            </w:pPr>
            <w:r>
              <w:t>Organe</w:t>
            </w:r>
          </w:p>
        </w:tc>
        <w:tc>
          <w:tcPr>
            <w:tcW w:w="3126" w:type="dxa"/>
          </w:tcPr>
          <w:p w:rsidR="008645DF" w:rsidRDefault="008645DF" w:rsidP="00353120">
            <w:pPr>
              <w:ind w:left="0" w:firstLine="0"/>
            </w:pPr>
            <w:r>
              <w:t>Augmentation de glucides, lipides, glucose, cholestérol et protéines totales.</w:t>
            </w:r>
          </w:p>
          <w:p w:rsidR="00353120" w:rsidRDefault="00353120" w:rsidP="00353120">
            <w:pPr>
              <w:ind w:left="0" w:firstLine="0"/>
            </w:pPr>
          </w:p>
          <w:p w:rsidR="00353120" w:rsidRDefault="00353120" w:rsidP="00353120">
            <w:pPr>
              <w:ind w:left="0" w:firstLine="0"/>
            </w:pPr>
          </w:p>
        </w:tc>
      </w:tr>
      <w:tr w:rsidR="008645DF" w:rsidTr="008645DF">
        <w:tc>
          <w:tcPr>
            <w:tcW w:w="2160" w:type="dxa"/>
          </w:tcPr>
          <w:p w:rsidR="008645DF" w:rsidRDefault="008645DF" w:rsidP="008645DF">
            <w:r>
              <w:t>KE4</w:t>
            </w:r>
          </w:p>
        </w:tc>
        <w:tc>
          <w:tcPr>
            <w:tcW w:w="2160" w:type="dxa"/>
          </w:tcPr>
          <w:p w:rsidR="008645DF" w:rsidRDefault="008645DF" w:rsidP="00353120">
            <w:pPr>
              <w:ind w:left="0" w:firstLine="0"/>
            </w:pPr>
            <w:r>
              <w:t>Perturbation énergétique systémique</w:t>
            </w:r>
          </w:p>
        </w:tc>
        <w:tc>
          <w:tcPr>
            <w:tcW w:w="2160" w:type="dxa"/>
          </w:tcPr>
          <w:p w:rsidR="008645DF" w:rsidRDefault="008645DF" w:rsidP="00353120">
            <w:pPr>
              <w:ind w:left="0" w:firstLine="0"/>
            </w:pPr>
            <w:r>
              <w:t>Organisme entier</w:t>
            </w:r>
          </w:p>
        </w:tc>
        <w:tc>
          <w:tcPr>
            <w:tcW w:w="3126" w:type="dxa"/>
          </w:tcPr>
          <w:p w:rsidR="008645DF" w:rsidRDefault="008645DF" w:rsidP="00353120">
            <w:pPr>
              <w:ind w:left="0" w:firstLine="0"/>
            </w:pPr>
            <w:r>
              <w:t>Réaffectation anormale des ressources métaboliques, affectant le métabolisme global.</w:t>
            </w:r>
          </w:p>
        </w:tc>
      </w:tr>
    </w:tbl>
    <w:p w:rsidR="008645DF" w:rsidRPr="00560BA9" w:rsidRDefault="008645DF" w:rsidP="008645DF">
      <w:pPr>
        <w:pStyle w:val="Titre1"/>
        <w:rPr>
          <w:color w:val="auto"/>
          <w:sz w:val="22"/>
          <w:szCs w:val="22"/>
        </w:rPr>
      </w:pPr>
      <w:r w:rsidRPr="00560BA9">
        <w:rPr>
          <w:color w:val="auto"/>
          <w:sz w:val="22"/>
          <w:szCs w:val="22"/>
        </w:rPr>
        <w:t>3. Adverse Outcome (AO)</w:t>
      </w:r>
    </w:p>
    <w:p w:rsidR="008645DF" w:rsidRDefault="008645DF" w:rsidP="008645DF">
      <w:pPr>
        <w:pStyle w:val="Paragraphedeliste"/>
      </w:pPr>
      <w:r>
        <w:t>• Titre : Dysfonction physiologique chez l’abeille</w:t>
      </w:r>
    </w:p>
    <w:p w:rsidR="008645DF" w:rsidRDefault="008645DF" w:rsidP="00353120">
      <w:pPr>
        <w:pStyle w:val="Paragraphedeliste"/>
        <w:ind w:left="0" w:firstLine="11"/>
      </w:pPr>
      <w:r>
        <w:t>• Description : Altération de la vitalité, du comportement, ou de la reproduction, pouvant compromettre la survie ou la performance de la colonie.</w:t>
      </w:r>
    </w:p>
    <w:p w:rsidR="008645DF" w:rsidRDefault="008645DF" w:rsidP="00353120">
      <w:pPr>
        <w:pStyle w:val="Paragraphedeliste"/>
      </w:pPr>
      <w:r>
        <w:t>• Niveau biologique : Organisme</w:t>
      </w:r>
    </w:p>
    <w:p w:rsidR="00353120" w:rsidRDefault="00353120" w:rsidP="00353120">
      <w:pPr>
        <w:pStyle w:val="Paragraphedeliste"/>
      </w:pPr>
    </w:p>
    <w:p w:rsidR="008645DF" w:rsidRPr="00560BA9" w:rsidRDefault="008645DF" w:rsidP="00353120">
      <w:pPr>
        <w:pStyle w:val="Titre1"/>
        <w:spacing w:before="0"/>
        <w:rPr>
          <w:color w:val="auto"/>
          <w:sz w:val="22"/>
          <w:szCs w:val="22"/>
        </w:rPr>
      </w:pPr>
      <w:r w:rsidRPr="00560BA9">
        <w:rPr>
          <w:color w:val="auto"/>
          <w:sz w:val="22"/>
          <w:szCs w:val="22"/>
        </w:rPr>
        <w:t>4. Key Event Relationships (KERs)</w:t>
      </w:r>
    </w:p>
    <w:tbl>
      <w:tblPr>
        <w:tblW w:w="0" w:type="auto"/>
        <w:tblLook w:val="04A0"/>
      </w:tblPr>
      <w:tblGrid>
        <w:gridCol w:w="2160"/>
        <w:gridCol w:w="2160"/>
        <w:gridCol w:w="2160"/>
        <w:gridCol w:w="3126"/>
      </w:tblGrid>
      <w:tr w:rsidR="008645DF" w:rsidTr="008645DF">
        <w:tc>
          <w:tcPr>
            <w:tcW w:w="2160" w:type="dxa"/>
          </w:tcPr>
          <w:p w:rsidR="008645DF" w:rsidRDefault="008645DF" w:rsidP="008645DF">
            <w:r>
              <w:t>Relation</w:t>
            </w:r>
          </w:p>
        </w:tc>
        <w:tc>
          <w:tcPr>
            <w:tcW w:w="2160" w:type="dxa"/>
          </w:tcPr>
          <w:p w:rsidR="008645DF" w:rsidRDefault="008645DF" w:rsidP="008645DF">
            <w:r>
              <w:t>De (KE)</w:t>
            </w:r>
          </w:p>
        </w:tc>
        <w:tc>
          <w:tcPr>
            <w:tcW w:w="2160" w:type="dxa"/>
          </w:tcPr>
          <w:p w:rsidR="008645DF" w:rsidRDefault="008645DF" w:rsidP="008645DF">
            <w:r>
              <w:t>Vers (KE)</w:t>
            </w:r>
          </w:p>
        </w:tc>
        <w:tc>
          <w:tcPr>
            <w:tcW w:w="3126" w:type="dxa"/>
          </w:tcPr>
          <w:p w:rsidR="008645DF" w:rsidRDefault="008645DF" w:rsidP="00353120">
            <w:pPr>
              <w:ind w:left="41" w:firstLine="0"/>
            </w:pPr>
            <w:r>
              <w:t>Justification biologique</w:t>
            </w:r>
          </w:p>
        </w:tc>
      </w:tr>
      <w:tr w:rsidR="008645DF" w:rsidTr="008645DF">
        <w:tc>
          <w:tcPr>
            <w:tcW w:w="2160" w:type="dxa"/>
          </w:tcPr>
          <w:p w:rsidR="008645DF" w:rsidRDefault="008645DF" w:rsidP="008645DF">
            <w:r>
              <w:t>KER1</w:t>
            </w:r>
          </w:p>
        </w:tc>
        <w:tc>
          <w:tcPr>
            <w:tcW w:w="2160" w:type="dxa"/>
          </w:tcPr>
          <w:p w:rsidR="008645DF" w:rsidRDefault="008645DF" w:rsidP="008645DF">
            <w:r>
              <w:t>MIE</w:t>
            </w:r>
          </w:p>
        </w:tc>
        <w:tc>
          <w:tcPr>
            <w:tcW w:w="2160" w:type="dxa"/>
          </w:tcPr>
          <w:p w:rsidR="008645DF" w:rsidRDefault="008645DF" w:rsidP="008645DF">
            <w:r>
              <w:t>KE1</w:t>
            </w:r>
          </w:p>
        </w:tc>
        <w:tc>
          <w:tcPr>
            <w:tcW w:w="3126" w:type="dxa"/>
          </w:tcPr>
          <w:p w:rsidR="008645DF" w:rsidRDefault="008645DF" w:rsidP="00353120">
            <w:pPr>
              <w:ind w:left="41" w:firstLine="0"/>
            </w:pPr>
            <w:r>
              <w:t>Les radiations EM sont connues pour générer des ROS chez les insectes.</w:t>
            </w:r>
          </w:p>
          <w:p w:rsidR="00353120" w:rsidRDefault="00353120" w:rsidP="00353120">
            <w:pPr>
              <w:ind w:left="41" w:firstLine="0"/>
            </w:pPr>
          </w:p>
        </w:tc>
      </w:tr>
      <w:tr w:rsidR="008645DF" w:rsidTr="008645DF">
        <w:tc>
          <w:tcPr>
            <w:tcW w:w="2160" w:type="dxa"/>
          </w:tcPr>
          <w:p w:rsidR="008645DF" w:rsidRDefault="008645DF" w:rsidP="008645DF">
            <w:r>
              <w:t>KER2</w:t>
            </w:r>
          </w:p>
        </w:tc>
        <w:tc>
          <w:tcPr>
            <w:tcW w:w="2160" w:type="dxa"/>
          </w:tcPr>
          <w:p w:rsidR="008645DF" w:rsidRDefault="008645DF" w:rsidP="008645DF">
            <w:r>
              <w:t>KE1</w:t>
            </w:r>
          </w:p>
        </w:tc>
        <w:tc>
          <w:tcPr>
            <w:tcW w:w="2160" w:type="dxa"/>
          </w:tcPr>
          <w:p w:rsidR="008645DF" w:rsidRDefault="008645DF" w:rsidP="008645DF">
            <w:r>
              <w:t>KE2</w:t>
            </w:r>
          </w:p>
        </w:tc>
        <w:tc>
          <w:tcPr>
            <w:tcW w:w="3126" w:type="dxa"/>
          </w:tcPr>
          <w:p w:rsidR="008645DF" w:rsidRDefault="008645DF" w:rsidP="00353120">
            <w:pPr>
              <w:ind w:left="41" w:firstLine="0"/>
            </w:pPr>
            <w:r>
              <w:t>Le stress oxydatif affecte les enzymes métaboliques.</w:t>
            </w:r>
          </w:p>
          <w:p w:rsidR="00353120" w:rsidRDefault="00353120" w:rsidP="00353120">
            <w:pPr>
              <w:ind w:left="41" w:firstLine="0"/>
            </w:pPr>
          </w:p>
        </w:tc>
      </w:tr>
      <w:tr w:rsidR="008645DF" w:rsidTr="008645DF">
        <w:tc>
          <w:tcPr>
            <w:tcW w:w="2160" w:type="dxa"/>
          </w:tcPr>
          <w:p w:rsidR="008645DF" w:rsidRDefault="008645DF" w:rsidP="008645DF">
            <w:r>
              <w:t>KER3</w:t>
            </w:r>
          </w:p>
        </w:tc>
        <w:tc>
          <w:tcPr>
            <w:tcW w:w="2160" w:type="dxa"/>
          </w:tcPr>
          <w:p w:rsidR="008645DF" w:rsidRDefault="008645DF" w:rsidP="008645DF">
            <w:r>
              <w:t>KE2</w:t>
            </w:r>
          </w:p>
        </w:tc>
        <w:tc>
          <w:tcPr>
            <w:tcW w:w="2160" w:type="dxa"/>
          </w:tcPr>
          <w:p w:rsidR="008645DF" w:rsidRDefault="008645DF" w:rsidP="008645DF">
            <w:r>
              <w:t>KE3</w:t>
            </w:r>
          </w:p>
        </w:tc>
        <w:tc>
          <w:tcPr>
            <w:tcW w:w="3126" w:type="dxa"/>
          </w:tcPr>
          <w:p w:rsidR="008645DF" w:rsidRDefault="008645DF" w:rsidP="00353120">
            <w:pPr>
              <w:ind w:left="41" w:firstLine="0"/>
            </w:pPr>
            <w:r>
              <w:t>Les changements enzymatiques induisent des variations biochimiques dans la lymphe.</w:t>
            </w:r>
          </w:p>
          <w:p w:rsidR="00353120" w:rsidRDefault="00353120" w:rsidP="00353120">
            <w:pPr>
              <w:ind w:left="41" w:firstLine="0"/>
            </w:pPr>
          </w:p>
        </w:tc>
      </w:tr>
      <w:tr w:rsidR="008645DF" w:rsidTr="008645DF">
        <w:tc>
          <w:tcPr>
            <w:tcW w:w="2160" w:type="dxa"/>
          </w:tcPr>
          <w:p w:rsidR="008645DF" w:rsidRDefault="008645DF" w:rsidP="008645DF">
            <w:r>
              <w:t>KER4</w:t>
            </w:r>
          </w:p>
        </w:tc>
        <w:tc>
          <w:tcPr>
            <w:tcW w:w="2160" w:type="dxa"/>
          </w:tcPr>
          <w:p w:rsidR="008645DF" w:rsidRDefault="008645DF" w:rsidP="008645DF">
            <w:r>
              <w:t>KE3</w:t>
            </w:r>
          </w:p>
        </w:tc>
        <w:tc>
          <w:tcPr>
            <w:tcW w:w="2160" w:type="dxa"/>
          </w:tcPr>
          <w:p w:rsidR="008645DF" w:rsidRDefault="008645DF" w:rsidP="008645DF">
            <w:r>
              <w:t>KE4</w:t>
            </w:r>
          </w:p>
        </w:tc>
        <w:tc>
          <w:tcPr>
            <w:tcW w:w="3126" w:type="dxa"/>
          </w:tcPr>
          <w:p w:rsidR="008645DF" w:rsidRDefault="008645DF" w:rsidP="00353120">
            <w:pPr>
              <w:ind w:left="41" w:firstLine="0"/>
            </w:pPr>
            <w:r>
              <w:t xml:space="preserve">La dérégulation des biomolécules entraîne un </w:t>
            </w:r>
            <w:r>
              <w:lastRenderedPageBreak/>
              <w:t>déséquilibre énergétique.</w:t>
            </w:r>
          </w:p>
        </w:tc>
      </w:tr>
      <w:tr w:rsidR="008645DF" w:rsidTr="008645DF">
        <w:tc>
          <w:tcPr>
            <w:tcW w:w="2160" w:type="dxa"/>
          </w:tcPr>
          <w:p w:rsidR="008645DF" w:rsidRDefault="008645DF" w:rsidP="008645DF">
            <w:r>
              <w:lastRenderedPageBreak/>
              <w:t>KER5</w:t>
            </w:r>
          </w:p>
        </w:tc>
        <w:tc>
          <w:tcPr>
            <w:tcW w:w="2160" w:type="dxa"/>
          </w:tcPr>
          <w:p w:rsidR="008645DF" w:rsidRDefault="008645DF" w:rsidP="008645DF">
            <w:r>
              <w:t>KE4</w:t>
            </w:r>
          </w:p>
        </w:tc>
        <w:tc>
          <w:tcPr>
            <w:tcW w:w="2160" w:type="dxa"/>
          </w:tcPr>
          <w:p w:rsidR="008645DF" w:rsidRDefault="008645DF" w:rsidP="008645DF">
            <w:r>
              <w:t>AO</w:t>
            </w:r>
          </w:p>
        </w:tc>
        <w:tc>
          <w:tcPr>
            <w:tcW w:w="3126" w:type="dxa"/>
          </w:tcPr>
          <w:p w:rsidR="008645DF" w:rsidRDefault="008645DF" w:rsidP="00353120">
            <w:pPr>
              <w:ind w:left="41" w:firstLine="0"/>
            </w:pPr>
            <w:r>
              <w:t>Une perturbation énergétique peut nuire au fonctionnement physiologique normal.</w:t>
            </w:r>
          </w:p>
        </w:tc>
      </w:tr>
    </w:tbl>
    <w:p w:rsidR="008645DF" w:rsidRPr="00560BA9" w:rsidRDefault="008645DF" w:rsidP="008645DF">
      <w:pPr>
        <w:pStyle w:val="Titre1"/>
        <w:rPr>
          <w:color w:val="auto"/>
          <w:sz w:val="22"/>
          <w:szCs w:val="22"/>
        </w:rPr>
      </w:pPr>
      <w:r w:rsidRPr="00560BA9">
        <w:rPr>
          <w:color w:val="auto"/>
          <w:sz w:val="22"/>
          <w:szCs w:val="22"/>
        </w:rPr>
        <w:t>5. Applicabilité taxonomique</w:t>
      </w:r>
    </w:p>
    <w:p w:rsidR="008645DF" w:rsidRDefault="008645DF" w:rsidP="008645DF">
      <w:pPr>
        <w:pStyle w:val="Paragraphedeliste"/>
      </w:pPr>
      <w:r>
        <w:t>• Espèce : Apis mellifera</w:t>
      </w:r>
    </w:p>
    <w:p w:rsidR="008645DF" w:rsidRDefault="008645DF" w:rsidP="008645DF">
      <w:pPr>
        <w:pStyle w:val="Paragraphedeliste"/>
      </w:pPr>
      <w:r>
        <w:t>• Justification : Données expérimentales directes de Kumar et al. (2013)</w:t>
      </w:r>
    </w:p>
    <w:p w:rsidR="008645DF" w:rsidRPr="00560BA9" w:rsidRDefault="008645DF" w:rsidP="008645DF">
      <w:pPr>
        <w:pStyle w:val="Titre1"/>
        <w:rPr>
          <w:color w:val="auto"/>
          <w:sz w:val="22"/>
          <w:szCs w:val="22"/>
        </w:rPr>
      </w:pPr>
      <w:r w:rsidRPr="00560BA9">
        <w:rPr>
          <w:color w:val="auto"/>
          <w:sz w:val="22"/>
          <w:szCs w:val="22"/>
        </w:rPr>
        <w:t>6. Applicabilité selon le stade de vie</w:t>
      </w:r>
    </w:p>
    <w:p w:rsidR="00353120" w:rsidRDefault="008645DF" w:rsidP="00353120">
      <w:pPr>
        <w:pStyle w:val="Paragraphedeliste"/>
        <w:ind w:left="0" w:firstLine="0"/>
      </w:pPr>
      <w:r>
        <w:t>• Drones adultes</w:t>
      </w:r>
    </w:p>
    <w:p w:rsidR="008645DF" w:rsidRDefault="008645DF" w:rsidP="00353120">
      <w:pPr>
        <w:pStyle w:val="Paragraphedeliste"/>
        <w:ind w:left="0" w:firstLine="0"/>
      </w:pPr>
      <w:r>
        <w:t>• Stade reproductif</w:t>
      </w:r>
    </w:p>
    <w:p w:rsidR="008645DF" w:rsidRPr="00560BA9" w:rsidRDefault="008645DF" w:rsidP="008645DF">
      <w:pPr>
        <w:pStyle w:val="Titre1"/>
        <w:rPr>
          <w:color w:val="auto"/>
          <w:sz w:val="22"/>
          <w:szCs w:val="22"/>
        </w:rPr>
      </w:pPr>
      <w:r w:rsidRPr="00560BA9">
        <w:rPr>
          <w:color w:val="auto"/>
          <w:sz w:val="22"/>
          <w:szCs w:val="22"/>
        </w:rPr>
        <w:t>7. Applicabilité selon le sexe</w:t>
      </w:r>
    </w:p>
    <w:p w:rsidR="008645DF" w:rsidRDefault="008645DF" w:rsidP="008645DF">
      <w:pPr>
        <w:pStyle w:val="Paragraphedeliste"/>
      </w:pPr>
      <w:r>
        <w:t>• Mâles (drones)</w:t>
      </w:r>
    </w:p>
    <w:p w:rsidR="008645DF" w:rsidRPr="00560BA9" w:rsidRDefault="008645DF" w:rsidP="008645DF">
      <w:pPr>
        <w:pStyle w:val="Titre1"/>
        <w:rPr>
          <w:color w:val="auto"/>
          <w:sz w:val="22"/>
          <w:szCs w:val="22"/>
        </w:rPr>
      </w:pPr>
      <w:r w:rsidRPr="00560BA9">
        <w:rPr>
          <w:color w:val="auto"/>
          <w:sz w:val="22"/>
          <w:szCs w:val="22"/>
        </w:rPr>
        <w:t>8. Preuves soutenant le mécanisme</w:t>
      </w:r>
    </w:p>
    <w:p w:rsidR="008645DF" w:rsidRDefault="008645DF" w:rsidP="00353120">
      <w:pPr>
        <w:pStyle w:val="Paragraphedeliste"/>
        <w:ind w:left="0" w:firstLine="0"/>
      </w:pPr>
      <w:r>
        <w:t>• Poids global de la preuve : Modéré (niveau expérimental limité à une seule étude mais avec effets mesurables et cohérents)</w:t>
      </w:r>
    </w:p>
    <w:p w:rsidR="008645DF" w:rsidRDefault="008645DF" w:rsidP="00353120">
      <w:pPr>
        <w:pStyle w:val="Paragraphedeliste"/>
        <w:ind w:left="0" w:firstLine="0"/>
      </w:pPr>
      <w:r>
        <w:t>• Compréhension quantitative : Faible à modéré – des relations dose-réponse supplémentaires seraient nécessaires</w:t>
      </w:r>
    </w:p>
    <w:p w:rsidR="008645DF" w:rsidRPr="00560BA9" w:rsidRDefault="008645DF" w:rsidP="008645DF">
      <w:pPr>
        <w:pStyle w:val="Titre1"/>
        <w:rPr>
          <w:color w:val="auto"/>
          <w:sz w:val="22"/>
          <w:szCs w:val="22"/>
        </w:rPr>
      </w:pPr>
      <w:r w:rsidRPr="00560BA9">
        <w:rPr>
          <w:color w:val="auto"/>
          <w:sz w:val="22"/>
          <w:szCs w:val="22"/>
        </w:rPr>
        <w:t>9. Référence principale</w:t>
      </w:r>
    </w:p>
    <w:p w:rsidR="008645DF" w:rsidRDefault="008645DF" w:rsidP="00353120">
      <w:pPr>
        <w:pStyle w:val="Paragraphedeliste"/>
        <w:ind w:left="0" w:firstLine="11"/>
      </w:pPr>
      <w:r>
        <w:t>Kumar, N. R., Rana, N., &amp; Kalia, P. (2013). Biochemical changes in haemolymph of Apis mellifera L. drone under the influence of cell phone radiations. Journal of Applied and Natural Science, 5(1), 139–141. https://doi.org/10.31018/jans.v5i1.296</w:t>
      </w:r>
    </w:p>
    <w:p w:rsidR="008645DF" w:rsidRDefault="008645DF" w:rsidP="008645DF">
      <w:pPr>
        <w:pStyle w:val="Paragraphedeliste"/>
      </w:pPr>
    </w:p>
    <w:p w:rsidR="008645DF" w:rsidRDefault="008645DF" w:rsidP="008645DF">
      <w:r>
        <w:br w:type="page"/>
      </w:r>
    </w:p>
    <w:p w:rsidR="008645DF" w:rsidRPr="008A5905" w:rsidRDefault="008645DF" w:rsidP="009F3BB0">
      <w:pPr>
        <w:pStyle w:val="Paragraphedeliste"/>
        <w:numPr>
          <w:ilvl w:val="0"/>
          <w:numId w:val="20"/>
        </w:numPr>
        <w:spacing w:line="276" w:lineRule="auto"/>
        <w:ind w:left="0" w:firstLine="0"/>
        <w:rPr>
          <w:rFonts w:ascii="Arial" w:hAnsi="Arial" w:cs="Arial"/>
          <w:b/>
          <w:sz w:val="20"/>
          <w:szCs w:val="20"/>
        </w:rPr>
      </w:pPr>
      <w:r w:rsidRPr="008A5905">
        <w:rPr>
          <w:rFonts w:ascii="Arial" w:hAnsi="Arial" w:cs="Arial"/>
          <w:sz w:val="20"/>
          <w:szCs w:val="20"/>
        </w:rPr>
        <w:lastRenderedPageBreak/>
        <w:t>Proposition d’AOP basée  sur l’hypothèse présentée par Martin L.</w:t>
      </w:r>
      <w:r w:rsidRPr="008A5905">
        <w:rPr>
          <w:rStyle w:val="lev"/>
          <w:rFonts w:ascii="Arial" w:hAnsi="Arial" w:cs="Arial"/>
          <w:b w:val="0"/>
          <w:sz w:val="20"/>
          <w:szCs w:val="20"/>
        </w:rPr>
        <w:t>Pall (2022)</w:t>
      </w:r>
      <w:r w:rsidRPr="008A5905">
        <w:rPr>
          <w:rFonts w:ascii="Arial" w:hAnsi="Arial" w:cs="Arial"/>
          <w:b/>
          <w:sz w:val="20"/>
          <w:szCs w:val="20"/>
        </w:rPr>
        <w:t xml:space="preserve"> </w:t>
      </w:r>
      <w:r w:rsidRPr="008A5905">
        <w:rPr>
          <w:rFonts w:ascii="Arial" w:hAnsi="Arial" w:cs="Arial"/>
          <w:sz w:val="20"/>
          <w:szCs w:val="20"/>
        </w:rPr>
        <w:t xml:space="preserve">dans </w:t>
      </w:r>
      <w:r w:rsidRPr="008A5905">
        <w:rPr>
          <w:rStyle w:val="Accentuation"/>
          <w:rFonts w:ascii="Arial" w:hAnsi="Arial" w:cs="Arial"/>
          <w:sz w:val="20"/>
          <w:szCs w:val="20"/>
        </w:rPr>
        <w:t>Current Alzheimer Research</w:t>
      </w:r>
      <w:r w:rsidRPr="008A5905">
        <w:rPr>
          <w:rFonts w:ascii="Arial" w:hAnsi="Arial" w:cs="Arial"/>
          <w:sz w:val="20"/>
          <w:szCs w:val="20"/>
        </w:rPr>
        <w:t xml:space="preserve">, selon laquelle les champs électromagnétiques (CEM) de faible intensité favoriseraient l’apparition précoce de la </w:t>
      </w:r>
      <w:r w:rsidRPr="008A5905">
        <w:rPr>
          <w:rStyle w:val="lev"/>
          <w:rFonts w:ascii="Arial" w:hAnsi="Arial" w:cs="Arial"/>
          <w:b w:val="0"/>
          <w:sz w:val="20"/>
          <w:szCs w:val="20"/>
        </w:rPr>
        <w:t>maladie d’Alzheimer</w:t>
      </w:r>
      <w:r w:rsidRPr="008A5905">
        <w:rPr>
          <w:rFonts w:ascii="Arial" w:hAnsi="Arial" w:cs="Arial"/>
          <w:sz w:val="20"/>
          <w:szCs w:val="20"/>
        </w:rPr>
        <w:t xml:space="preserve"> via l’</w:t>
      </w:r>
      <w:r w:rsidRPr="008A5905">
        <w:rPr>
          <w:rStyle w:val="lev"/>
          <w:rFonts w:ascii="Arial" w:hAnsi="Arial" w:cs="Arial"/>
          <w:b w:val="0"/>
          <w:sz w:val="20"/>
          <w:szCs w:val="20"/>
        </w:rPr>
        <w:t>activation des canaux calciques voltage-dépendants :</w:t>
      </w:r>
    </w:p>
    <w:p w:rsidR="008645DF" w:rsidRPr="008A5905" w:rsidRDefault="008645DF" w:rsidP="008645DF">
      <w:pPr>
        <w:rPr>
          <w:rFonts w:ascii="Arial" w:hAnsi="Arial" w:cs="Arial"/>
          <w:sz w:val="20"/>
          <w:szCs w:val="20"/>
        </w:rPr>
      </w:pPr>
    </w:p>
    <w:p w:rsidR="008645DF" w:rsidRPr="008A5905" w:rsidRDefault="008645DF" w:rsidP="008645DF">
      <w:pPr>
        <w:rPr>
          <w:rFonts w:ascii="Arial" w:hAnsi="Arial" w:cs="Arial"/>
          <w:sz w:val="20"/>
          <w:szCs w:val="20"/>
        </w:rPr>
      </w:pPr>
      <w:r w:rsidRPr="008A5905">
        <w:rPr>
          <w:rFonts w:ascii="Arial" w:hAnsi="Arial" w:cs="Arial"/>
          <w:b/>
          <w:sz w:val="20"/>
          <w:szCs w:val="20"/>
          <w:u w:val="single"/>
        </w:rPr>
        <w:t>AOP : Exposition aux CEM → Activation des VGCC → Neurodégénérescence (type Alzheimer)</w:t>
      </w:r>
    </w:p>
    <w:p w:rsidR="008645DF" w:rsidRPr="008A5905" w:rsidRDefault="008645DF" w:rsidP="008645DF">
      <w:pPr>
        <w:pStyle w:val="Titre1"/>
        <w:rPr>
          <w:rFonts w:ascii="Arial" w:hAnsi="Arial" w:cs="Arial"/>
          <w:color w:val="auto"/>
          <w:sz w:val="20"/>
          <w:szCs w:val="20"/>
        </w:rPr>
      </w:pPr>
      <w:r w:rsidRPr="008A5905">
        <w:rPr>
          <w:rFonts w:ascii="Arial" w:hAnsi="Arial" w:cs="Arial"/>
          <w:color w:val="auto"/>
          <w:sz w:val="20"/>
          <w:szCs w:val="20"/>
        </w:rPr>
        <w:t>1. Molecular Initiating Event (MIE)</w:t>
      </w:r>
    </w:p>
    <w:p w:rsidR="008A5905" w:rsidRPr="008A5905" w:rsidRDefault="008645DF" w:rsidP="008A5905">
      <w:pPr>
        <w:spacing w:before="100" w:beforeAutospacing="1"/>
        <w:rPr>
          <w:rStyle w:val="lev"/>
          <w:rFonts w:ascii="Arial" w:hAnsi="Arial" w:cs="Arial"/>
          <w:b w:val="0"/>
          <w:sz w:val="20"/>
          <w:szCs w:val="20"/>
        </w:rPr>
      </w:pPr>
      <w:r w:rsidRPr="008A5905">
        <w:rPr>
          <w:rStyle w:val="lev"/>
          <w:rFonts w:ascii="Arial" w:hAnsi="Arial" w:cs="Arial"/>
          <w:b w:val="0"/>
          <w:sz w:val="20"/>
          <w:szCs w:val="20"/>
        </w:rPr>
        <w:t>Exposition à des champs électromagnétiques de faible intensité (CEM)</w:t>
      </w:r>
    </w:p>
    <w:p w:rsidR="008645DF" w:rsidRPr="008A5905" w:rsidRDefault="008645DF" w:rsidP="008A5905">
      <w:pPr>
        <w:spacing w:after="100" w:afterAutospacing="1"/>
        <w:rPr>
          <w:rFonts w:ascii="Arial" w:hAnsi="Arial" w:cs="Arial"/>
          <w:b/>
          <w:bCs/>
          <w:sz w:val="20"/>
          <w:szCs w:val="20"/>
        </w:rPr>
      </w:pPr>
      <w:r w:rsidRPr="008A5905">
        <w:rPr>
          <w:rFonts w:ascii="Arial" w:hAnsi="Arial" w:cs="Arial"/>
          <w:sz w:val="20"/>
          <w:szCs w:val="20"/>
        </w:rPr>
        <w:t>(ex. : téléphones portables, Wifi, antennes-relais de téléphonie mobile)</w:t>
      </w:r>
    </w:p>
    <w:p w:rsidR="008645DF" w:rsidRPr="008A5905" w:rsidRDefault="008645DF" w:rsidP="008645DF">
      <w:pPr>
        <w:pStyle w:val="Titre3"/>
        <w:rPr>
          <w:rFonts w:ascii="Arial" w:hAnsi="Arial" w:cs="Arial"/>
          <w:b w:val="0"/>
          <w:sz w:val="20"/>
          <w:szCs w:val="20"/>
        </w:rPr>
      </w:pPr>
      <w:r w:rsidRPr="008A5905">
        <w:rPr>
          <w:rStyle w:val="lev"/>
          <w:rFonts w:ascii="Arial" w:hAnsi="Arial" w:cs="Arial"/>
          <w:b/>
          <w:sz w:val="20"/>
          <w:szCs w:val="20"/>
        </w:rPr>
        <w:t>2. Key Events (KEs)</w:t>
      </w:r>
    </w:p>
    <w:p w:rsidR="008645DF" w:rsidRPr="008A5905" w:rsidRDefault="008645DF" w:rsidP="008645DF">
      <w:pPr>
        <w:pStyle w:val="Titre4"/>
        <w:rPr>
          <w:rFonts w:ascii="Arial" w:hAnsi="Arial" w:cs="Arial"/>
          <w:i w:val="0"/>
          <w:color w:val="auto"/>
          <w:sz w:val="20"/>
          <w:szCs w:val="20"/>
        </w:rPr>
      </w:pPr>
      <w:r w:rsidRPr="008A5905">
        <w:rPr>
          <w:rStyle w:val="lev"/>
          <w:rFonts w:ascii="Arial" w:hAnsi="Arial" w:cs="Arial"/>
          <w:i w:val="0"/>
          <w:color w:val="auto"/>
          <w:sz w:val="20"/>
          <w:szCs w:val="20"/>
        </w:rPr>
        <w:t>KE1 : Activation des canaux calciques voltage-dépendants (VGCC)</w:t>
      </w:r>
    </w:p>
    <w:p w:rsidR="008645DF" w:rsidRPr="008A5905" w:rsidRDefault="008645DF" w:rsidP="009F3BB0">
      <w:pPr>
        <w:numPr>
          <w:ilvl w:val="0"/>
          <w:numId w:val="28"/>
        </w:numPr>
        <w:spacing w:before="100" w:beforeAutospacing="1" w:after="100" w:afterAutospacing="1"/>
        <w:jc w:val="left"/>
        <w:rPr>
          <w:rFonts w:ascii="Arial" w:hAnsi="Arial" w:cs="Arial"/>
          <w:sz w:val="20"/>
          <w:szCs w:val="20"/>
        </w:rPr>
      </w:pPr>
      <w:r w:rsidRPr="008A5905">
        <w:rPr>
          <w:rFonts w:ascii="Arial" w:hAnsi="Arial" w:cs="Arial"/>
          <w:sz w:val="20"/>
          <w:szCs w:val="20"/>
        </w:rPr>
        <w:t>Les CEM déclenchent une activation anormale des VGCC, entraînant une entrée excessive de calcium (Ca²</w:t>
      </w:r>
      <w:r w:rsidRPr="008A5905">
        <w:rPr>
          <w:rFonts w:cs="Arial"/>
          <w:sz w:val="20"/>
          <w:szCs w:val="20"/>
        </w:rPr>
        <w:t>⁺</w:t>
      </w:r>
      <w:r w:rsidRPr="008A5905">
        <w:rPr>
          <w:rFonts w:ascii="Arial" w:hAnsi="Arial" w:cs="Arial"/>
          <w:sz w:val="20"/>
          <w:szCs w:val="20"/>
        </w:rPr>
        <w:t>) dans les neurones.</w:t>
      </w:r>
    </w:p>
    <w:p w:rsidR="008645DF" w:rsidRPr="008A5905" w:rsidRDefault="008645DF" w:rsidP="008645DF">
      <w:pPr>
        <w:pStyle w:val="Titre4"/>
        <w:rPr>
          <w:rFonts w:ascii="Arial" w:hAnsi="Arial" w:cs="Arial"/>
          <w:i w:val="0"/>
          <w:color w:val="auto"/>
          <w:sz w:val="20"/>
          <w:szCs w:val="20"/>
        </w:rPr>
      </w:pPr>
      <w:r w:rsidRPr="008A5905">
        <w:rPr>
          <w:rStyle w:val="lev"/>
          <w:rFonts w:ascii="Arial" w:hAnsi="Arial" w:cs="Arial"/>
          <w:i w:val="0"/>
          <w:color w:val="auto"/>
          <w:sz w:val="20"/>
          <w:szCs w:val="20"/>
        </w:rPr>
        <w:t>KE2 : Augmentation du calcium intracellulaire</w:t>
      </w:r>
    </w:p>
    <w:p w:rsidR="008645DF" w:rsidRPr="008A5905" w:rsidRDefault="008645DF" w:rsidP="009F3BB0">
      <w:pPr>
        <w:numPr>
          <w:ilvl w:val="0"/>
          <w:numId w:val="29"/>
        </w:numPr>
        <w:spacing w:before="100" w:beforeAutospacing="1" w:after="100" w:afterAutospacing="1"/>
        <w:jc w:val="left"/>
        <w:rPr>
          <w:rFonts w:ascii="Arial" w:hAnsi="Arial" w:cs="Arial"/>
          <w:sz w:val="20"/>
          <w:szCs w:val="20"/>
        </w:rPr>
      </w:pPr>
      <w:r w:rsidRPr="008A5905">
        <w:rPr>
          <w:rFonts w:ascii="Arial" w:hAnsi="Arial" w:cs="Arial"/>
          <w:sz w:val="20"/>
          <w:szCs w:val="20"/>
        </w:rPr>
        <w:t>Le calcium intracellulaire ([Ca²</w:t>
      </w:r>
      <w:r w:rsidRPr="008A5905">
        <w:rPr>
          <w:rFonts w:cs="Arial"/>
          <w:sz w:val="20"/>
          <w:szCs w:val="20"/>
        </w:rPr>
        <w:t>⁺</w:t>
      </w:r>
      <w:r w:rsidRPr="008A5905">
        <w:rPr>
          <w:rFonts w:ascii="Arial" w:hAnsi="Arial" w:cs="Arial"/>
          <w:sz w:val="20"/>
          <w:szCs w:val="20"/>
        </w:rPr>
        <w:t>]ᵢ) augmente à des niveaux cytotoxiques.</w:t>
      </w:r>
    </w:p>
    <w:p w:rsidR="008645DF" w:rsidRPr="008A5905" w:rsidRDefault="008645DF" w:rsidP="009F3BB0">
      <w:pPr>
        <w:numPr>
          <w:ilvl w:val="0"/>
          <w:numId w:val="29"/>
        </w:numPr>
        <w:spacing w:before="100" w:beforeAutospacing="1" w:after="100" w:afterAutospacing="1"/>
        <w:jc w:val="left"/>
        <w:rPr>
          <w:rFonts w:ascii="Arial" w:hAnsi="Arial" w:cs="Arial"/>
          <w:sz w:val="20"/>
          <w:szCs w:val="20"/>
        </w:rPr>
      </w:pPr>
      <w:r w:rsidRPr="008A5905">
        <w:rPr>
          <w:rFonts w:ascii="Arial" w:hAnsi="Arial" w:cs="Arial"/>
          <w:sz w:val="20"/>
          <w:szCs w:val="20"/>
        </w:rPr>
        <w:t>Cela perturbe la signalisation neuronale et déclenche des réponses pathologiques.</w:t>
      </w:r>
    </w:p>
    <w:p w:rsidR="008645DF" w:rsidRPr="008A5905" w:rsidRDefault="008645DF" w:rsidP="008645DF">
      <w:pPr>
        <w:pStyle w:val="Titre4"/>
        <w:rPr>
          <w:rFonts w:ascii="Arial" w:hAnsi="Arial" w:cs="Arial"/>
          <w:i w:val="0"/>
          <w:color w:val="auto"/>
          <w:sz w:val="20"/>
          <w:szCs w:val="20"/>
        </w:rPr>
      </w:pPr>
      <w:r w:rsidRPr="008A5905">
        <w:rPr>
          <w:rStyle w:val="lev"/>
          <w:rFonts w:ascii="Arial" w:hAnsi="Arial" w:cs="Arial"/>
          <w:i w:val="0"/>
          <w:color w:val="auto"/>
          <w:sz w:val="20"/>
          <w:szCs w:val="20"/>
        </w:rPr>
        <w:t>KE3 : Stress oxydatif, inflammation et dommages à l’ADN</w:t>
      </w:r>
    </w:p>
    <w:p w:rsidR="008645DF" w:rsidRPr="008A5905" w:rsidRDefault="008645DF" w:rsidP="009F3BB0">
      <w:pPr>
        <w:numPr>
          <w:ilvl w:val="0"/>
          <w:numId w:val="30"/>
        </w:numPr>
        <w:spacing w:before="100" w:beforeAutospacing="1" w:after="100" w:afterAutospacing="1"/>
        <w:jc w:val="left"/>
        <w:rPr>
          <w:rFonts w:ascii="Arial" w:hAnsi="Arial" w:cs="Arial"/>
          <w:sz w:val="20"/>
          <w:szCs w:val="20"/>
        </w:rPr>
      </w:pPr>
      <w:r w:rsidRPr="008A5905">
        <w:rPr>
          <w:rFonts w:ascii="Arial" w:hAnsi="Arial" w:cs="Arial"/>
          <w:sz w:val="20"/>
          <w:szCs w:val="20"/>
        </w:rPr>
        <w:t>Le déséquilibre calcique génère des espèces réactives de l’oxygène (ROS).</w:t>
      </w:r>
    </w:p>
    <w:p w:rsidR="008645DF" w:rsidRPr="008A5905" w:rsidRDefault="008645DF" w:rsidP="009F3BB0">
      <w:pPr>
        <w:numPr>
          <w:ilvl w:val="0"/>
          <w:numId w:val="30"/>
        </w:numPr>
        <w:spacing w:before="100" w:beforeAutospacing="1" w:after="100" w:afterAutospacing="1"/>
        <w:jc w:val="left"/>
        <w:rPr>
          <w:rFonts w:ascii="Arial" w:hAnsi="Arial" w:cs="Arial"/>
          <w:sz w:val="20"/>
          <w:szCs w:val="20"/>
        </w:rPr>
      </w:pPr>
      <w:r w:rsidRPr="008A5905">
        <w:rPr>
          <w:rFonts w:ascii="Arial" w:hAnsi="Arial" w:cs="Arial"/>
          <w:sz w:val="20"/>
          <w:szCs w:val="20"/>
        </w:rPr>
        <w:t>Activation microgliale et production de cytokines pro-inflammatoires.</w:t>
      </w:r>
    </w:p>
    <w:p w:rsidR="008645DF" w:rsidRPr="008A5905" w:rsidRDefault="008645DF" w:rsidP="009F3BB0">
      <w:pPr>
        <w:numPr>
          <w:ilvl w:val="0"/>
          <w:numId w:val="30"/>
        </w:numPr>
        <w:spacing w:before="100" w:beforeAutospacing="1" w:after="100" w:afterAutospacing="1"/>
        <w:jc w:val="left"/>
        <w:rPr>
          <w:rFonts w:ascii="Arial" w:hAnsi="Arial" w:cs="Arial"/>
          <w:sz w:val="20"/>
          <w:szCs w:val="20"/>
        </w:rPr>
      </w:pPr>
      <w:r w:rsidRPr="008A5905">
        <w:rPr>
          <w:rFonts w:ascii="Arial" w:hAnsi="Arial" w:cs="Arial"/>
          <w:sz w:val="20"/>
          <w:szCs w:val="20"/>
        </w:rPr>
        <w:t>Cassures de l’ADN et dysfonction mitochondriale.</w:t>
      </w:r>
    </w:p>
    <w:p w:rsidR="008645DF" w:rsidRPr="008A5905" w:rsidRDefault="008645DF" w:rsidP="008645DF">
      <w:pPr>
        <w:pStyle w:val="Titre4"/>
        <w:rPr>
          <w:rFonts w:ascii="Arial" w:hAnsi="Arial" w:cs="Arial"/>
          <w:i w:val="0"/>
          <w:color w:val="auto"/>
          <w:sz w:val="20"/>
          <w:szCs w:val="20"/>
        </w:rPr>
      </w:pPr>
      <w:r w:rsidRPr="008A5905">
        <w:rPr>
          <w:rStyle w:val="lev"/>
          <w:rFonts w:ascii="Arial" w:hAnsi="Arial" w:cs="Arial"/>
          <w:i w:val="0"/>
          <w:color w:val="auto"/>
          <w:sz w:val="20"/>
          <w:szCs w:val="20"/>
        </w:rPr>
        <w:t>KE4 : Accumulation d’amyloïde bêta (Aβ) et de protéine tau</w:t>
      </w:r>
    </w:p>
    <w:p w:rsidR="008645DF" w:rsidRPr="008A5905" w:rsidRDefault="008645DF" w:rsidP="009F3BB0">
      <w:pPr>
        <w:numPr>
          <w:ilvl w:val="0"/>
          <w:numId w:val="31"/>
        </w:numPr>
        <w:spacing w:before="100" w:beforeAutospacing="1" w:after="100" w:afterAutospacing="1"/>
        <w:jc w:val="left"/>
        <w:rPr>
          <w:rFonts w:ascii="Arial" w:hAnsi="Arial" w:cs="Arial"/>
          <w:sz w:val="20"/>
          <w:szCs w:val="20"/>
        </w:rPr>
      </w:pPr>
      <w:r w:rsidRPr="008A5905">
        <w:rPr>
          <w:rFonts w:ascii="Arial" w:hAnsi="Arial" w:cs="Arial"/>
          <w:sz w:val="20"/>
          <w:szCs w:val="20"/>
        </w:rPr>
        <w:t>Le stress cellulaire favorise la surproduction d’Aβ et l’hyperphosphorylation de la tau, deux marqueurs clés d’Alzheimer.</w:t>
      </w:r>
    </w:p>
    <w:p w:rsidR="008645DF" w:rsidRPr="008A5905" w:rsidRDefault="008645DF" w:rsidP="008645DF">
      <w:pPr>
        <w:pStyle w:val="Titre4"/>
        <w:rPr>
          <w:rFonts w:ascii="Arial" w:hAnsi="Arial" w:cs="Arial"/>
          <w:i w:val="0"/>
          <w:color w:val="auto"/>
          <w:sz w:val="20"/>
          <w:szCs w:val="20"/>
        </w:rPr>
      </w:pPr>
      <w:r w:rsidRPr="008A5905">
        <w:rPr>
          <w:rStyle w:val="lev"/>
          <w:rFonts w:ascii="Arial" w:hAnsi="Arial" w:cs="Arial"/>
          <w:i w:val="0"/>
          <w:color w:val="auto"/>
          <w:sz w:val="20"/>
          <w:szCs w:val="20"/>
        </w:rPr>
        <w:t>KE5 : Perte synaptique et mort neuronale</w:t>
      </w:r>
    </w:p>
    <w:p w:rsidR="008645DF" w:rsidRPr="008A5905" w:rsidRDefault="008645DF" w:rsidP="009F3BB0">
      <w:pPr>
        <w:numPr>
          <w:ilvl w:val="0"/>
          <w:numId w:val="32"/>
        </w:numPr>
        <w:spacing w:before="100" w:beforeAutospacing="1" w:after="100" w:afterAutospacing="1"/>
        <w:jc w:val="left"/>
        <w:rPr>
          <w:rFonts w:ascii="Arial" w:hAnsi="Arial" w:cs="Arial"/>
          <w:sz w:val="20"/>
          <w:szCs w:val="20"/>
        </w:rPr>
      </w:pPr>
      <w:r w:rsidRPr="008A5905">
        <w:rPr>
          <w:rFonts w:ascii="Arial" w:hAnsi="Arial" w:cs="Arial"/>
          <w:sz w:val="20"/>
          <w:szCs w:val="20"/>
        </w:rPr>
        <w:t>Les neurones endommagés perdent leur capacité de communication.</w:t>
      </w:r>
    </w:p>
    <w:p w:rsidR="008645DF" w:rsidRPr="008A5905" w:rsidRDefault="008645DF" w:rsidP="009F3BB0">
      <w:pPr>
        <w:numPr>
          <w:ilvl w:val="0"/>
          <w:numId w:val="32"/>
        </w:numPr>
        <w:spacing w:before="100" w:beforeAutospacing="1" w:after="100" w:afterAutospacing="1"/>
        <w:jc w:val="left"/>
        <w:rPr>
          <w:rFonts w:ascii="Arial" w:hAnsi="Arial" w:cs="Arial"/>
          <w:sz w:val="20"/>
          <w:szCs w:val="20"/>
        </w:rPr>
      </w:pPr>
      <w:r w:rsidRPr="008A5905">
        <w:rPr>
          <w:rFonts w:ascii="Arial" w:hAnsi="Arial" w:cs="Arial"/>
          <w:sz w:val="20"/>
          <w:szCs w:val="20"/>
        </w:rPr>
        <w:t>La mort neuronale s'accélère, notamment dans l’hippocampe.</w:t>
      </w:r>
    </w:p>
    <w:p w:rsidR="008645DF" w:rsidRPr="008A5905" w:rsidRDefault="008645DF" w:rsidP="008645DF">
      <w:pPr>
        <w:pStyle w:val="Titre3"/>
        <w:rPr>
          <w:rFonts w:ascii="Arial" w:hAnsi="Arial" w:cs="Arial"/>
          <w:b w:val="0"/>
          <w:sz w:val="20"/>
          <w:szCs w:val="20"/>
        </w:rPr>
      </w:pPr>
      <w:r w:rsidRPr="008A5905">
        <w:rPr>
          <w:rFonts w:ascii="Arial" w:hAnsi="Arial" w:cs="Arial"/>
          <w:sz w:val="20"/>
          <w:szCs w:val="20"/>
        </w:rPr>
        <w:t>3.</w:t>
      </w:r>
      <w:r w:rsidRPr="008A5905">
        <w:rPr>
          <w:rFonts w:ascii="Arial" w:hAnsi="Arial" w:cs="Arial"/>
          <w:b w:val="0"/>
          <w:sz w:val="20"/>
          <w:szCs w:val="20"/>
        </w:rPr>
        <w:t xml:space="preserve">  </w:t>
      </w:r>
      <w:r w:rsidRPr="008A5905">
        <w:rPr>
          <w:rStyle w:val="lev"/>
          <w:rFonts w:ascii="Arial" w:hAnsi="Arial" w:cs="Arial"/>
          <w:b/>
          <w:sz w:val="20"/>
          <w:szCs w:val="20"/>
        </w:rPr>
        <w:t>Adverse Outcome (AO)</w:t>
      </w:r>
    </w:p>
    <w:p w:rsidR="008A5905" w:rsidRDefault="008645DF" w:rsidP="008A5905">
      <w:pPr>
        <w:spacing w:before="100" w:beforeAutospacing="1"/>
        <w:ind w:left="0" w:firstLine="0"/>
        <w:rPr>
          <w:rFonts w:ascii="Arial" w:hAnsi="Arial" w:cs="Arial"/>
          <w:sz w:val="20"/>
          <w:szCs w:val="20"/>
        </w:rPr>
      </w:pPr>
      <w:r w:rsidRPr="008A5905">
        <w:rPr>
          <w:rStyle w:val="lev"/>
          <w:rFonts w:ascii="Arial" w:hAnsi="Arial" w:cs="Arial"/>
          <w:b w:val="0"/>
          <w:sz w:val="20"/>
          <w:szCs w:val="20"/>
        </w:rPr>
        <w:t>Apparition précoce de la maladie d’Alzheimer</w:t>
      </w:r>
    </w:p>
    <w:p w:rsidR="008645DF" w:rsidRPr="008A5905" w:rsidRDefault="008645DF" w:rsidP="008A5905">
      <w:pPr>
        <w:spacing w:after="100" w:afterAutospacing="1"/>
        <w:ind w:left="0" w:firstLine="0"/>
        <w:rPr>
          <w:rFonts w:ascii="Arial" w:hAnsi="Arial" w:cs="Arial"/>
          <w:sz w:val="20"/>
          <w:szCs w:val="20"/>
        </w:rPr>
      </w:pPr>
      <w:r w:rsidRPr="008A5905">
        <w:rPr>
          <w:rFonts w:ascii="Arial" w:hAnsi="Arial" w:cs="Arial"/>
          <w:sz w:val="20"/>
          <w:szCs w:val="20"/>
        </w:rPr>
        <w:t>(troubles cognitifs, pertes de mémoire, neurodégénérescence structurale)</w:t>
      </w:r>
    </w:p>
    <w:p w:rsidR="008645DF" w:rsidRPr="008A5905" w:rsidRDefault="008645DF" w:rsidP="008645DF">
      <w:pPr>
        <w:pStyle w:val="Titre3"/>
        <w:rPr>
          <w:rFonts w:ascii="Arial" w:hAnsi="Arial" w:cs="Arial"/>
          <w:sz w:val="20"/>
          <w:szCs w:val="20"/>
        </w:rPr>
      </w:pPr>
      <w:r w:rsidRPr="008A5905">
        <w:rPr>
          <w:rFonts w:ascii="Arial" w:hAnsi="Arial" w:cs="Arial"/>
          <w:sz w:val="20"/>
          <w:szCs w:val="20"/>
        </w:rPr>
        <w:t>4.  Niveau de preuve</w:t>
      </w:r>
    </w:p>
    <w:p w:rsidR="008645DF" w:rsidRPr="008A5905" w:rsidRDefault="008645DF" w:rsidP="009F3BB0">
      <w:pPr>
        <w:numPr>
          <w:ilvl w:val="0"/>
          <w:numId w:val="33"/>
        </w:numPr>
        <w:spacing w:before="100" w:beforeAutospacing="1" w:after="100" w:afterAutospacing="1"/>
        <w:jc w:val="left"/>
        <w:rPr>
          <w:rFonts w:ascii="Arial" w:hAnsi="Arial" w:cs="Arial"/>
          <w:sz w:val="20"/>
          <w:szCs w:val="20"/>
        </w:rPr>
      </w:pPr>
      <w:r w:rsidRPr="008A5905">
        <w:rPr>
          <w:rStyle w:val="lev"/>
          <w:rFonts w:ascii="Arial" w:hAnsi="Arial" w:cs="Arial"/>
          <w:b w:val="0"/>
          <w:sz w:val="20"/>
          <w:szCs w:val="20"/>
        </w:rPr>
        <w:t>Hypothèse intégrative appuyée par 18 types de preuves</w:t>
      </w:r>
      <w:r w:rsidRPr="008A5905">
        <w:rPr>
          <w:rFonts w:ascii="Arial" w:hAnsi="Arial" w:cs="Arial"/>
          <w:sz w:val="20"/>
          <w:szCs w:val="20"/>
        </w:rPr>
        <w:t xml:space="preserve"> (épidémiologie, in vitro, in vivo, mécanismes moléculaires).</w:t>
      </w:r>
    </w:p>
    <w:p w:rsidR="008645DF" w:rsidRDefault="008645DF" w:rsidP="009F3BB0">
      <w:pPr>
        <w:numPr>
          <w:ilvl w:val="0"/>
          <w:numId w:val="33"/>
        </w:numPr>
        <w:spacing w:before="100" w:beforeAutospacing="1" w:after="100" w:afterAutospacing="1"/>
        <w:jc w:val="left"/>
        <w:rPr>
          <w:rFonts w:ascii="Arial" w:hAnsi="Arial" w:cs="Arial"/>
          <w:sz w:val="20"/>
          <w:szCs w:val="20"/>
        </w:rPr>
      </w:pPr>
      <w:r w:rsidRPr="008A5905">
        <w:rPr>
          <w:rFonts w:ascii="Arial" w:hAnsi="Arial" w:cs="Arial"/>
          <w:sz w:val="20"/>
          <w:szCs w:val="20"/>
        </w:rPr>
        <w:t xml:space="preserve">Pas encore validé comme </w:t>
      </w:r>
      <w:r w:rsidRPr="008A5905">
        <w:rPr>
          <w:rStyle w:val="lev"/>
          <w:rFonts w:ascii="Arial" w:hAnsi="Arial" w:cs="Arial"/>
          <w:b w:val="0"/>
          <w:sz w:val="20"/>
          <w:szCs w:val="20"/>
        </w:rPr>
        <w:t>AOP formel</w:t>
      </w:r>
      <w:r w:rsidRPr="008A5905">
        <w:rPr>
          <w:rFonts w:ascii="Arial" w:hAnsi="Arial" w:cs="Arial"/>
          <w:sz w:val="20"/>
          <w:szCs w:val="20"/>
        </w:rPr>
        <w:t xml:space="preserve"> (OCDE), mais plausible et biologiquement cohérent.</w:t>
      </w:r>
    </w:p>
    <w:p w:rsidR="008A5905" w:rsidRDefault="008A5905" w:rsidP="008A5905">
      <w:pPr>
        <w:spacing w:before="100" w:beforeAutospacing="1" w:after="100" w:afterAutospacing="1"/>
        <w:jc w:val="left"/>
        <w:rPr>
          <w:rFonts w:ascii="Arial" w:hAnsi="Arial" w:cs="Arial"/>
          <w:sz w:val="20"/>
          <w:szCs w:val="20"/>
        </w:rPr>
      </w:pPr>
    </w:p>
    <w:p w:rsidR="008A5905" w:rsidRPr="008A5905" w:rsidRDefault="008A5905" w:rsidP="008A5905">
      <w:pPr>
        <w:spacing w:before="100" w:beforeAutospacing="1" w:after="100" w:afterAutospacing="1"/>
        <w:jc w:val="left"/>
        <w:rPr>
          <w:rFonts w:ascii="Arial" w:hAnsi="Arial" w:cs="Arial"/>
          <w:sz w:val="20"/>
          <w:szCs w:val="20"/>
        </w:rPr>
      </w:pPr>
    </w:p>
    <w:p w:rsidR="008645DF" w:rsidRDefault="008645DF" w:rsidP="009F3BB0">
      <w:pPr>
        <w:pStyle w:val="Paragraphedeliste"/>
        <w:numPr>
          <w:ilvl w:val="0"/>
          <w:numId w:val="20"/>
        </w:numPr>
        <w:spacing w:before="100" w:beforeAutospacing="1" w:after="100" w:afterAutospacing="1"/>
        <w:jc w:val="left"/>
      </w:pPr>
      <w:r w:rsidRPr="001C4ACC">
        <w:rPr>
          <w:u w:val="single"/>
        </w:rPr>
        <w:lastRenderedPageBreak/>
        <w:t>Tableau récapitulatif des études menées sur les riverains d’antennes-relais de téléphonie mobile à travers le monde</w:t>
      </w:r>
      <w:r>
        <w:t> :</w:t>
      </w:r>
    </w:p>
    <w:p w:rsidR="008645DF" w:rsidRDefault="008645DF" w:rsidP="008645DF">
      <w:pPr>
        <w:pStyle w:val="Paragraphedeliste"/>
        <w:spacing w:before="100" w:beforeAutospacing="1" w:after="100" w:afterAutospacing="1"/>
      </w:pPr>
    </w:p>
    <w:tbl>
      <w:tblPr>
        <w:tblW w:w="10140" w:type="dxa"/>
        <w:tblInd w:w="55" w:type="dxa"/>
        <w:tblCellMar>
          <w:left w:w="70" w:type="dxa"/>
          <w:right w:w="70" w:type="dxa"/>
        </w:tblCellMar>
        <w:tblLook w:val="04A0"/>
      </w:tblPr>
      <w:tblGrid>
        <w:gridCol w:w="1718"/>
        <w:gridCol w:w="731"/>
        <w:gridCol w:w="1120"/>
        <w:gridCol w:w="1180"/>
        <w:gridCol w:w="2716"/>
        <w:gridCol w:w="2675"/>
      </w:tblGrid>
      <w:tr w:rsidR="008645DF" w:rsidRPr="00350A13" w:rsidTr="008645DF">
        <w:trPr>
          <w:trHeight w:val="600"/>
        </w:trPr>
        <w:tc>
          <w:tcPr>
            <w:tcW w:w="1718" w:type="dxa"/>
            <w:tcBorders>
              <w:top w:val="single" w:sz="4" w:space="0" w:color="auto"/>
              <w:left w:val="single" w:sz="4" w:space="0" w:color="auto"/>
              <w:bottom w:val="single" w:sz="4" w:space="0" w:color="auto"/>
              <w:right w:val="single" w:sz="4" w:space="0" w:color="auto"/>
            </w:tcBorders>
            <w:shd w:val="clear" w:color="000000" w:fill="95B3D7"/>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Étude</w:t>
            </w:r>
          </w:p>
        </w:tc>
        <w:tc>
          <w:tcPr>
            <w:tcW w:w="731" w:type="dxa"/>
            <w:tcBorders>
              <w:top w:val="single" w:sz="4" w:space="0" w:color="auto"/>
              <w:left w:val="nil"/>
              <w:bottom w:val="single" w:sz="4" w:space="0" w:color="auto"/>
              <w:right w:val="single" w:sz="4" w:space="0" w:color="auto"/>
            </w:tcBorders>
            <w:shd w:val="clear" w:color="000000" w:fill="95B3D7"/>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Année</w:t>
            </w:r>
          </w:p>
        </w:tc>
        <w:tc>
          <w:tcPr>
            <w:tcW w:w="1120" w:type="dxa"/>
            <w:tcBorders>
              <w:top w:val="single" w:sz="4" w:space="0" w:color="auto"/>
              <w:left w:val="nil"/>
              <w:bottom w:val="single" w:sz="4" w:space="0" w:color="auto"/>
              <w:right w:val="single" w:sz="4" w:space="0" w:color="auto"/>
            </w:tcBorders>
            <w:shd w:val="clear" w:color="000000" w:fill="95B3D7"/>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Pays</w:t>
            </w:r>
          </w:p>
        </w:tc>
        <w:tc>
          <w:tcPr>
            <w:tcW w:w="1180" w:type="dxa"/>
            <w:tcBorders>
              <w:top w:val="single" w:sz="4" w:space="0" w:color="auto"/>
              <w:left w:val="nil"/>
              <w:bottom w:val="single" w:sz="4" w:space="0" w:color="auto"/>
              <w:right w:val="single" w:sz="4" w:space="0" w:color="auto"/>
            </w:tcBorders>
            <w:shd w:val="clear" w:color="000000" w:fill="95B3D7"/>
            <w:vAlign w:val="center"/>
            <w:hideMark/>
          </w:tcPr>
          <w:p w:rsidR="008645DF" w:rsidRPr="00350A13" w:rsidRDefault="008645DF" w:rsidP="008A5905">
            <w:pPr>
              <w:ind w:left="0" w:firstLine="0"/>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Population étudiée</w:t>
            </w:r>
          </w:p>
        </w:tc>
        <w:tc>
          <w:tcPr>
            <w:tcW w:w="2716" w:type="dxa"/>
            <w:tcBorders>
              <w:top w:val="single" w:sz="4" w:space="0" w:color="auto"/>
              <w:left w:val="nil"/>
              <w:bottom w:val="single" w:sz="4" w:space="0" w:color="auto"/>
              <w:right w:val="single" w:sz="4" w:space="0" w:color="auto"/>
            </w:tcBorders>
            <w:shd w:val="clear" w:color="000000" w:fill="95B3D7"/>
            <w:vAlign w:val="center"/>
            <w:hideMark/>
          </w:tcPr>
          <w:p w:rsidR="008645DF" w:rsidRPr="00350A13" w:rsidRDefault="008645DF" w:rsidP="008A5905">
            <w:pPr>
              <w:ind w:left="0" w:firstLine="0"/>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Principaux résultats</w:t>
            </w:r>
          </w:p>
        </w:tc>
        <w:tc>
          <w:tcPr>
            <w:tcW w:w="2675" w:type="dxa"/>
            <w:tcBorders>
              <w:top w:val="single" w:sz="4" w:space="0" w:color="auto"/>
              <w:left w:val="nil"/>
              <w:bottom w:val="single" w:sz="4" w:space="0" w:color="auto"/>
              <w:right w:val="single" w:sz="4" w:space="0" w:color="auto"/>
            </w:tcBorders>
            <w:shd w:val="clear" w:color="000000" w:fill="95B3D7"/>
            <w:vAlign w:val="center"/>
            <w:hideMark/>
          </w:tcPr>
          <w:p w:rsidR="008645DF" w:rsidRPr="00350A13" w:rsidRDefault="008645DF" w:rsidP="008A5905">
            <w:pPr>
              <w:ind w:left="0" w:firstLine="0"/>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Niveau de preuve</w:t>
            </w:r>
          </w:p>
        </w:tc>
      </w:tr>
      <w:tr w:rsidR="008645DF" w:rsidRPr="00350A13" w:rsidTr="008645DF">
        <w:trPr>
          <w:trHeight w:val="2220"/>
        </w:trPr>
        <w:tc>
          <w:tcPr>
            <w:tcW w:w="1718" w:type="dxa"/>
            <w:tcBorders>
              <w:top w:val="nil"/>
              <w:left w:val="single" w:sz="4" w:space="0" w:color="auto"/>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Santini et al.</w:t>
            </w:r>
          </w:p>
        </w:tc>
        <w:tc>
          <w:tcPr>
            <w:tcW w:w="731"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2002</w:t>
            </w:r>
          </w:p>
        </w:tc>
        <w:tc>
          <w:tcPr>
            <w:tcW w:w="112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France</w:t>
            </w:r>
          </w:p>
        </w:tc>
        <w:tc>
          <w:tcPr>
            <w:tcW w:w="118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530 riverains</w:t>
            </w:r>
          </w:p>
        </w:tc>
        <w:tc>
          <w:tcPr>
            <w:tcW w:w="2716"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Augmentation significative de symptômes (troubles du sommeil, maux de tête, fatigue) chez les personnes vivant à moins de 300 m des antennes.</w:t>
            </w:r>
          </w:p>
        </w:tc>
        <w:tc>
          <w:tcPr>
            <w:tcW w:w="2675"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Épidémiologique, auto-déclaratif, absence de mesures d’exposition précises.</w:t>
            </w:r>
          </w:p>
        </w:tc>
      </w:tr>
      <w:tr w:rsidR="008645DF" w:rsidRPr="00350A13" w:rsidTr="008645DF">
        <w:trPr>
          <w:trHeight w:val="1650"/>
        </w:trPr>
        <w:tc>
          <w:tcPr>
            <w:tcW w:w="1718" w:type="dxa"/>
            <w:tcBorders>
              <w:top w:val="nil"/>
              <w:left w:val="single" w:sz="4" w:space="0" w:color="auto"/>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Santini et al. (suite)</w:t>
            </w:r>
          </w:p>
        </w:tc>
        <w:tc>
          <w:tcPr>
            <w:tcW w:w="731"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2003</w:t>
            </w:r>
          </w:p>
        </w:tc>
        <w:tc>
          <w:tcPr>
            <w:tcW w:w="112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France</w:t>
            </w:r>
          </w:p>
        </w:tc>
        <w:tc>
          <w:tcPr>
            <w:tcW w:w="118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530 riverains</w:t>
            </w:r>
          </w:p>
        </w:tc>
        <w:tc>
          <w:tcPr>
            <w:tcW w:w="2716"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Corrélation entre la durée d’exposition et l’intensité des symptômes, avec des effets plus marqués chez les femmes.</w:t>
            </w:r>
          </w:p>
        </w:tc>
        <w:tc>
          <w:tcPr>
            <w:tcW w:w="2675"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Épidémiologique, auto-déclaratif, absence de mesures d’exposition précises.</w:t>
            </w:r>
          </w:p>
        </w:tc>
      </w:tr>
      <w:tr w:rsidR="008645DF" w:rsidRPr="00350A13" w:rsidTr="008645DF">
        <w:trPr>
          <w:trHeight w:val="2100"/>
        </w:trPr>
        <w:tc>
          <w:tcPr>
            <w:tcW w:w="1718" w:type="dxa"/>
            <w:tcBorders>
              <w:top w:val="nil"/>
              <w:left w:val="single" w:sz="4" w:space="0" w:color="auto"/>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Santini et al.</w:t>
            </w:r>
          </w:p>
        </w:tc>
        <w:tc>
          <w:tcPr>
            <w:tcW w:w="731"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2004</w:t>
            </w:r>
          </w:p>
        </w:tc>
        <w:tc>
          <w:tcPr>
            <w:tcW w:w="112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France</w:t>
            </w:r>
          </w:p>
        </w:tc>
        <w:tc>
          <w:tcPr>
            <w:tcW w:w="118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530 riverains</w:t>
            </w:r>
          </w:p>
        </w:tc>
        <w:tc>
          <w:tcPr>
            <w:tcW w:w="2716"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Influence de la position par rapport aux antennes sur les symptômes signalés.</w:t>
            </w:r>
          </w:p>
        </w:tc>
        <w:tc>
          <w:tcPr>
            <w:tcW w:w="2675"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Épidémiologique, auto-déclaratif, absence de mesures d’exposition précises.</w:t>
            </w:r>
          </w:p>
        </w:tc>
      </w:tr>
      <w:tr w:rsidR="008645DF" w:rsidRPr="00350A13" w:rsidTr="008645DF">
        <w:trPr>
          <w:trHeight w:val="2400"/>
        </w:trPr>
        <w:tc>
          <w:tcPr>
            <w:tcW w:w="1718" w:type="dxa"/>
            <w:tcBorders>
              <w:top w:val="nil"/>
              <w:left w:val="single" w:sz="4" w:space="0" w:color="auto"/>
              <w:bottom w:val="single" w:sz="4" w:space="0" w:color="auto"/>
              <w:right w:val="single" w:sz="4" w:space="0" w:color="auto"/>
            </w:tcBorders>
            <w:shd w:val="clear" w:color="auto" w:fill="auto"/>
            <w:vAlign w:val="center"/>
            <w:hideMark/>
          </w:tcPr>
          <w:p w:rsidR="008645DF"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 xml:space="preserve">Abdel-Rassoul </w:t>
            </w:r>
          </w:p>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et al.</w:t>
            </w:r>
          </w:p>
        </w:tc>
        <w:tc>
          <w:tcPr>
            <w:tcW w:w="731"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2007</w:t>
            </w:r>
          </w:p>
        </w:tc>
        <w:tc>
          <w:tcPr>
            <w:tcW w:w="112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Égypte</w:t>
            </w:r>
          </w:p>
        </w:tc>
        <w:tc>
          <w:tcPr>
            <w:tcW w:w="118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85 riverains</w:t>
            </w:r>
          </w:p>
        </w:tc>
        <w:tc>
          <w:tcPr>
            <w:tcW w:w="2716"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Déficits cognitifs et augmentation des symptômes neuropsychiatriques chez les personnes vivant à proximité des antennes.</w:t>
            </w:r>
          </w:p>
        </w:tc>
        <w:tc>
          <w:tcPr>
            <w:tcW w:w="2675"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Épidémiologique, petite taille d’échantillon, absence de mesures d’exposition précises.</w:t>
            </w:r>
          </w:p>
        </w:tc>
      </w:tr>
      <w:tr w:rsidR="008645DF" w:rsidRPr="00350A13" w:rsidTr="008645DF">
        <w:trPr>
          <w:trHeight w:val="2100"/>
        </w:trPr>
        <w:tc>
          <w:tcPr>
            <w:tcW w:w="1718" w:type="dxa"/>
            <w:tcBorders>
              <w:top w:val="nil"/>
              <w:left w:val="single" w:sz="4" w:space="0" w:color="auto"/>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Hutter et al.</w:t>
            </w:r>
          </w:p>
        </w:tc>
        <w:tc>
          <w:tcPr>
            <w:tcW w:w="731"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2006</w:t>
            </w:r>
          </w:p>
        </w:tc>
        <w:tc>
          <w:tcPr>
            <w:tcW w:w="112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Autriche</w:t>
            </w:r>
          </w:p>
        </w:tc>
        <w:tc>
          <w:tcPr>
            <w:tcW w:w="118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365 riverains</w:t>
            </w:r>
          </w:p>
        </w:tc>
        <w:tc>
          <w:tcPr>
            <w:tcW w:w="2716"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Association entre l’exposition aux radiofréquences et des troubles du sommeil, maux de tête, et irritabilité.</w:t>
            </w:r>
          </w:p>
        </w:tc>
        <w:tc>
          <w:tcPr>
            <w:tcW w:w="2675"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Épidémiologique, mesures d’exposition effectuées, mais conception transversale.</w:t>
            </w:r>
          </w:p>
        </w:tc>
      </w:tr>
      <w:tr w:rsidR="008645DF" w:rsidRPr="00350A13" w:rsidTr="008645DF">
        <w:trPr>
          <w:trHeight w:val="2400"/>
        </w:trPr>
        <w:tc>
          <w:tcPr>
            <w:tcW w:w="1718" w:type="dxa"/>
            <w:tcBorders>
              <w:top w:val="nil"/>
              <w:left w:val="single" w:sz="4" w:space="0" w:color="auto"/>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lastRenderedPageBreak/>
              <w:t>Bortkiewicz et al.</w:t>
            </w:r>
          </w:p>
        </w:tc>
        <w:tc>
          <w:tcPr>
            <w:tcW w:w="731"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2004</w:t>
            </w:r>
          </w:p>
        </w:tc>
        <w:tc>
          <w:tcPr>
            <w:tcW w:w="112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Pologne</w:t>
            </w:r>
          </w:p>
        </w:tc>
        <w:tc>
          <w:tcPr>
            <w:tcW w:w="118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318 riverains</w:t>
            </w:r>
          </w:p>
        </w:tc>
        <w:tc>
          <w:tcPr>
            <w:tcW w:w="2716"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Augmentation de la fréquence des symptômes neurovégétatifs chez les personnes vivant à proximité des antennes.</w:t>
            </w:r>
          </w:p>
        </w:tc>
        <w:tc>
          <w:tcPr>
            <w:tcW w:w="2675"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Épidémiologique, auto-déclaratif, absence de mesures d’exposition précises.</w:t>
            </w:r>
          </w:p>
        </w:tc>
      </w:tr>
      <w:tr w:rsidR="008645DF" w:rsidRPr="00350A13" w:rsidTr="008645DF">
        <w:trPr>
          <w:trHeight w:val="3000"/>
        </w:trPr>
        <w:tc>
          <w:tcPr>
            <w:tcW w:w="1718" w:type="dxa"/>
            <w:tcBorders>
              <w:top w:val="nil"/>
              <w:left w:val="single" w:sz="4" w:space="0" w:color="auto"/>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Navarro et al.</w:t>
            </w:r>
          </w:p>
        </w:tc>
        <w:tc>
          <w:tcPr>
            <w:tcW w:w="731"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2003</w:t>
            </w:r>
          </w:p>
        </w:tc>
        <w:tc>
          <w:tcPr>
            <w:tcW w:w="112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Espagne</w:t>
            </w:r>
          </w:p>
        </w:tc>
        <w:tc>
          <w:tcPr>
            <w:tcW w:w="118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101 riverains</w:t>
            </w:r>
          </w:p>
        </w:tc>
        <w:tc>
          <w:tcPr>
            <w:tcW w:w="2716"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Corrélation entre l’intensité du champ électromagnétique mesuré et la prévalence de symptômes tels que fatigue, irritabilité, et maux de tête.</w:t>
            </w:r>
          </w:p>
        </w:tc>
        <w:tc>
          <w:tcPr>
            <w:tcW w:w="2675"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Épidémiologique, mesures d’exposition effectuées, petite taille d’échantillon.</w:t>
            </w:r>
          </w:p>
        </w:tc>
      </w:tr>
      <w:tr w:rsidR="008645DF" w:rsidRPr="00350A13" w:rsidTr="008645DF">
        <w:trPr>
          <w:trHeight w:val="2700"/>
        </w:trPr>
        <w:tc>
          <w:tcPr>
            <w:tcW w:w="1718" w:type="dxa"/>
            <w:tcBorders>
              <w:top w:val="nil"/>
              <w:left w:val="single" w:sz="4" w:space="0" w:color="auto"/>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Eger et al.</w:t>
            </w:r>
          </w:p>
        </w:tc>
        <w:tc>
          <w:tcPr>
            <w:tcW w:w="731"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2004</w:t>
            </w:r>
          </w:p>
        </w:tc>
        <w:tc>
          <w:tcPr>
            <w:tcW w:w="112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Allemagne</w:t>
            </w:r>
          </w:p>
        </w:tc>
        <w:tc>
          <w:tcPr>
            <w:tcW w:w="118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Données de registre de cancer</w:t>
            </w:r>
          </w:p>
        </w:tc>
        <w:tc>
          <w:tcPr>
            <w:tcW w:w="2716"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Augmentation significative de l’incidence du cancer chez les personnes vivant à moins de 400 m d’une antenne-relais pendant 10 ans.</w:t>
            </w:r>
          </w:p>
        </w:tc>
        <w:tc>
          <w:tcPr>
            <w:tcW w:w="2675"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Écologique, absence de données individuelles d’exposition, possible biais de sélection.</w:t>
            </w:r>
          </w:p>
        </w:tc>
      </w:tr>
      <w:tr w:rsidR="008645DF" w:rsidRPr="00350A13" w:rsidTr="008645DF">
        <w:trPr>
          <w:trHeight w:val="2100"/>
        </w:trPr>
        <w:tc>
          <w:tcPr>
            <w:tcW w:w="1718" w:type="dxa"/>
            <w:tcBorders>
              <w:top w:val="nil"/>
              <w:left w:val="single" w:sz="4" w:space="0" w:color="auto"/>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Wolf et Wolf</w:t>
            </w:r>
          </w:p>
        </w:tc>
        <w:tc>
          <w:tcPr>
            <w:tcW w:w="731"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2004</w:t>
            </w:r>
          </w:p>
        </w:tc>
        <w:tc>
          <w:tcPr>
            <w:tcW w:w="112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Israël</w:t>
            </w:r>
          </w:p>
        </w:tc>
        <w:tc>
          <w:tcPr>
            <w:tcW w:w="118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Données de registre de cancer</w:t>
            </w:r>
          </w:p>
        </w:tc>
        <w:tc>
          <w:tcPr>
            <w:tcW w:w="2716"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Risque de cancer multiplié par 4,15 chez les personnes vivant à moins de 350 m d’une antenne-relais.</w:t>
            </w:r>
          </w:p>
        </w:tc>
        <w:tc>
          <w:tcPr>
            <w:tcW w:w="2675"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Écologique, absence de données individuelles d’exposition, possible biais de sélection.</w:t>
            </w:r>
          </w:p>
        </w:tc>
      </w:tr>
      <w:tr w:rsidR="008645DF" w:rsidRPr="00350A13" w:rsidTr="008645DF">
        <w:trPr>
          <w:trHeight w:val="2400"/>
        </w:trPr>
        <w:tc>
          <w:tcPr>
            <w:tcW w:w="1718" w:type="dxa"/>
            <w:tcBorders>
              <w:top w:val="nil"/>
              <w:left w:val="single" w:sz="4" w:space="0" w:color="auto"/>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b/>
                <w:bCs/>
                <w:color w:val="000000"/>
                <w:lang w:eastAsia="fr-FR"/>
              </w:rPr>
            </w:pPr>
            <w:r w:rsidRPr="00350A13">
              <w:rPr>
                <w:rFonts w:ascii="Calibri" w:eastAsia="Times New Roman" w:hAnsi="Calibri" w:cs="Calibri"/>
                <w:b/>
                <w:bCs/>
                <w:color w:val="000000"/>
                <w:lang w:eastAsia="fr-FR"/>
              </w:rPr>
              <w:t>Augner et al.</w:t>
            </w:r>
          </w:p>
        </w:tc>
        <w:tc>
          <w:tcPr>
            <w:tcW w:w="731"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2010</w:t>
            </w:r>
          </w:p>
        </w:tc>
        <w:tc>
          <w:tcPr>
            <w:tcW w:w="112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Autriche</w:t>
            </w:r>
          </w:p>
        </w:tc>
        <w:tc>
          <w:tcPr>
            <w:tcW w:w="118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57 riverains</w:t>
            </w:r>
          </w:p>
        </w:tc>
        <w:tc>
          <w:tcPr>
            <w:tcW w:w="2716"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Augmentation du stress psychologique et des troubles du sommeil en lien avec l’exposition aux radiofréquences.</w:t>
            </w:r>
          </w:p>
        </w:tc>
        <w:tc>
          <w:tcPr>
            <w:tcW w:w="2675"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Épidémiologique, mesures d’exposition effectuées, petite taille d’échantillon.</w:t>
            </w:r>
          </w:p>
        </w:tc>
      </w:tr>
      <w:tr w:rsidR="008645DF" w:rsidRPr="00350A13" w:rsidTr="008645DF">
        <w:trPr>
          <w:trHeight w:val="2400"/>
        </w:trPr>
        <w:tc>
          <w:tcPr>
            <w:tcW w:w="1718" w:type="dxa"/>
            <w:tcBorders>
              <w:top w:val="nil"/>
              <w:left w:val="single" w:sz="4" w:space="0" w:color="auto"/>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b/>
                <w:bCs/>
                <w:color w:val="000000"/>
                <w:lang w:eastAsia="fr-FR"/>
              </w:rPr>
            </w:pPr>
            <w:r w:rsidRPr="008908DB">
              <w:rPr>
                <w:rFonts w:ascii="Calibri" w:eastAsia="Times New Roman" w:hAnsi="Calibri" w:cs="Calibri"/>
                <w:b/>
                <w:bCs/>
                <w:color w:val="000000"/>
                <w:lang w:eastAsia="fr-FR"/>
              </w:rPr>
              <w:lastRenderedPageBreak/>
              <w:t>Gandhi et al.</w:t>
            </w:r>
          </w:p>
        </w:tc>
        <w:tc>
          <w:tcPr>
            <w:tcW w:w="731"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sidRPr="00350A13">
              <w:rPr>
                <w:rFonts w:ascii="Calibri" w:eastAsia="Times New Roman" w:hAnsi="Calibri" w:cs="Calibri"/>
                <w:color w:val="000000"/>
                <w:lang w:eastAsia="fr-FR"/>
              </w:rPr>
              <w:t>201</w:t>
            </w:r>
            <w:r>
              <w:rPr>
                <w:rFonts w:ascii="Calibri" w:eastAsia="Times New Roman" w:hAnsi="Calibri" w:cs="Calibri"/>
                <w:color w:val="000000"/>
                <w:lang w:eastAsia="fr-FR"/>
              </w:rPr>
              <w:t>5</w:t>
            </w:r>
          </w:p>
        </w:tc>
        <w:tc>
          <w:tcPr>
            <w:tcW w:w="112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645DF">
            <w:pPr>
              <w:jc w:val="center"/>
              <w:rPr>
                <w:rFonts w:ascii="Calibri" w:eastAsia="Times New Roman" w:hAnsi="Calibri" w:cs="Calibri"/>
                <w:color w:val="000000"/>
                <w:lang w:eastAsia="fr-FR"/>
              </w:rPr>
            </w:pPr>
            <w:r>
              <w:rPr>
                <w:rFonts w:ascii="Calibri" w:eastAsia="Times New Roman" w:hAnsi="Calibri" w:cs="Calibri"/>
                <w:color w:val="000000"/>
                <w:lang w:eastAsia="fr-FR"/>
              </w:rPr>
              <w:t>Inde</w:t>
            </w:r>
          </w:p>
        </w:tc>
        <w:tc>
          <w:tcPr>
            <w:tcW w:w="1180"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Pr>
                <w:rFonts w:ascii="Calibri" w:eastAsia="Times New Roman" w:hAnsi="Calibri" w:cs="Calibri"/>
                <w:color w:val="000000"/>
                <w:lang w:eastAsia="fr-FR"/>
              </w:rPr>
              <w:t>90</w:t>
            </w:r>
            <w:r w:rsidRPr="00350A13">
              <w:rPr>
                <w:rFonts w:ascii="Calibri" w:eastAsia="Times New Roman" w:hAnsi="Calibri" w:cs="Calibri"/>
                <w:color w:val="000000"/>
                <w:lang w:eastAsia="fr-FR"/>
              </w:rPr>
              <w:t xml:space="preserve"> riverains</w:t>
            </w:r>
          </w:p>
        </w:tc>
        <w:tc>
          <w:tcPr>
            <w:tcW w:w="2716"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8908DB">
              <w:rPr>
                <w:rFonts w:ascii="Calibri" w:eastAsia="Times New Roman" w:hAnsi="Calibri" w:cs="Calibri"/>
                <w:color w:val="000000"/>
                <w:lang w:eastAsia="fr-FR"/>
              </w:rPr>
              <w:t>Augmentation significative des dommages à l’ADN (test du micronoyau) chez les résidents à &lt;300 m d’une antenne-relais</w:t>
            </w:r>
          </w:p>
        </w:tc>
        <w:tc>
          <w:tcPr>
            <w:tcW w:w="2675" w:type="dxa"/>
            <w:tcBorders>
              <w:top w:val="nil"/>
              <w:left w:val="nil"/>
              <w:bottom w:val="single" w:sz="4" w:space="0" w:color="auto"/>
              <w:right w:val="single" w:sz="4" w:space="0" w:color="auto"/>
            </w:tcBorders>
            <w:shd w:val="clear" w:color="auto" w:fill="auto"/>
            <w:vAlign w:val="center"/>
            <w:hideMark/>
          </w:tcPr>
          <w:p w:rsidR="008645DF" w:rsidRPr="00350A13" w:rsidRDefault="008645DF" w:rsidP="008A5905">
            <w:pPr>
              <w:ind w:left="0" w:firstLine="0"/>
              <w:jc w:val="center"/>
              <w:rPr>
                <w:rFonts w:ascii="Calibri" w:eastAsia="Times New Roman" w:hAnsi="Calibri" w:cs="Calibri"/>
                <w:color w:val="000000"/>
                <w:lang w:eastAsia="fr-FR"/>
              </w:rPr>
            </w:pPr>
            <w:r w:rsidRPr="008908DB">
              <w:rPr>
                <w:rFonts w:ascii="Calibri" w:eastAsia="Times New Roman" w:hAnsi="Calibri" w:cs="Calibri"/>
                <w:color w:val="000000"/>
                <w:lang w:eastAsia="fr-FR"/>
              </w:rPr>
              <w:t>Étude cas-témoins, mesures RF sur site, test biologique validé (micronoyaux)</w:t>
            </w:r>
          </w:p>
        </w:tc>
      </w:tr>
    </w:tbl>
    <w:p w:rsidR="008645DF" w:rsidRDefault="008645DF" w:rsidP="008645DF">
      <w:pPr>
        <w:spacing w:before="100" w:beforeAutospacing="1" w:after="100" w:afterAutospacing="1"/>
      </w:pPr>
    </w:p>
    <w:p w:rsidR="008645DF" w:rsidRDefault="008645DF" w:rsidP="009F3BB0">
      <w:pPr>
        <w:pStyle w:val="Paragraphedeliste"/>
        <w:numPr>
          <w:ilvl w:val="0"/>
          <w:numId w:val="20"/>
        </w:numPr>
        <w:spacing w:before="100" w:beforeAutospacing="1" w:after="100" w:afterAutospacing="1"/>
        <w:jc w:val="left"/>
      </w:pPr>
      <w:r>
        <w:t>Proposition d’AOP à partir de l’étude Hu et al.(2021) :</w:t>
      </w:r>
    </w:p>
    <w:p w:rsidR="008645DF" w:rsidRPr="00887742" w:rsidRDefault="008645DF" w:rsidP="008A5905">
      <w:pPr>
        <w:spacing w:before="100" w:beforeAutospacing="1" w:after="100" w:afterAutospacing="1"/>
        <w:ind w:left="0" w:firstLine="0"/>
        <w:rPr>
          <w:rFonts w:ascii="Arial" w:hAnsi="Arial" w:cs="Arial"/>
          <w:sz w:val="20"/>
          <w:szCs w:val="20"/>
          <w:u w:val="single"/>
        </w:rPr>
      </w:pPr>
      <w:r w:rsidRPr="00887742">
        <w:rPr>
          <w:rStyle w:val="lev"/>
          <w:rFonts w:ascii="Arial" w:hAnsi="Arial" w:cs="Arial"/>
          <w:sz w:val="20"/>
          <w:szCs w:val="20"/>
        </w:rPr>
        <w:t>Dysfonction cognitive induite par l'exposition aux radiofréquences via une altération des neurotransmetteurs cérébraux</w:t>
      </w:r>
    </w:p>
    <w:p w:rsidR="008645DF" w:rsidRPr="008A5905" w:rsidRDefault="008645DF" w:rsidP="008645DF">
      <w:pPr>
        <w:pStyle w:val="Titre3"/>
        <w:jc w:val="both"/>
        <w:rPr>
          <w:rFonts w:ascii="Arial" w:hAnsi="Arial" w:cs="Arial"/>
          <w:b w:val="0"/>
          <w:sz w:val="20"/>
          <w:szCs w:val="20"/>
        </w:rPr>
      </w:pPr>
      <w:r w:rsidRPr="008A5905">
        <w:rPr>
          <w:rStyle w:val="lev"/>
          <w:rFonts w:ascii="Arial" w:hAnsi="Arial" w:cs="Arial"/>
          <w:b/>
          <w:sz w:val="20"/>
          <w:szCs w:val="20"/>
        </w:rPr>
        <w:t>MIE (Molecular Initiating Event)</w:t>
      </w:r>
    </w:p>
    <w:p w:rsidR="008645DF" w:rsidRPr="005935A4" w:rsidRDefault="008645DF" w:rsidP="008645DF">
      <w:pPr>
        <w:spacing w:before="100" w:beforeAutospacing="1" w:after="100" w:afterAutospacing="1"/>
        <w:rPr>
          <w:rFonts w:ascii="Arial" w:hAnsi="Arial" w:cs="Arial"/>
          <w:sz w:val="20"/>
          <w:szCs w:val="20"/>
        </w:rPr>
      </w:pPr>
      <w:r w:rsidRPr="005935A4">
        <w:rPr>
          <w:rFonts w:ascii="Arial" w:hAnsi="Arial" w:cs="Arial"/>
          <w:sz w:val="20"/>
          <w:szCs w:val="20"/>
        </w:rPr>
        <w:t xml:space="preserve">Exposition chronique à des champs électromagnétiques de radiofréquence </w:t>
      </w:r>
    </w:p>
    <w:p w:rsidR="008645DF" w:rsidRPr="008A5905" w:rsidRDefault="008645DF" w:rsidP="008645DF">
      <w:pPr>
        <w:pStyle w:val="Titre3"/>
        <w:jc w:val="both"/>
        <w:rPr>
          <w:rFonts w:ascii="Arial" w:hAnsi="Arial" w:cs="Arial"/>
          <w:sz w:val="20"/>
          <w:szCs w:val="20"/>
        </w:rPr>
      </w:pPr>
      <w:r w:rsidRPr="008A5905">
        <w:rPr>
          <w:rFonts w:ascii="Arial" w:hAnsi="Arial" w:cs="Arial"/>
          <w:sz w:val="20"/>
          <w:szCs w:val="20"/>
        </w:rPr>
        <w:t xml:space="preserve"> </w:t>
      </w:r>
      <w:r w:rsidRPr="008A5905">
        <w:rPr>
          <w:rStyle w:val="lev"/>
          <w:rFonts w:ascii="Arial" w:hAnsi="Arial" w:cs="Arial"/>
          <w:sz w:val="20"/>
          <w:szCs w:val="20"/>
        </w:rPr>
        <w:t xml:space="preserve">KE1 </w:t>
      </w:r>
    </w:p>
    <w:p w:rsidR="008645DF" w:rsidRPr="005935A4" w:rsidRDefault="008645DF" w:rsidP="008A5905">
      <w:pPr>
        <w:spacing w:before="100" w:beforeAutospacing="1" w:after="100" w:afterAutospacing="1"/>
        <w:ind w:left="0" w:firstLine="0"/>
        <w:rPr>
          <w:rFonts w:ascii="Arial" w:hAnsi="Arial" w:cs="Arial"/>
          <w:sz w:val="20"/>
          <w:szCs w:val="20"/>
        </w:rPr>
      </w:pPr>
      <w:r w:rsidRPr="005935A4">
        <w:rPr>
          <w:rFonts w:ascii="Arial" w:hAnsi="Arial" w:cs="Arial"/>
          <w:sz w:val="20"/>
          <w:szCs w:val="20"/>
        </w:rPr>
        <w:t>Altération du métabolisme et de la synthèse des neurotransmetteurs (dopamine, acétylcholine, sérotonine) dans des régions cérébrales spécifiques (hippocampe, cortex frontal, hypothalamus).</w:t>
      </w:r>
    </w:p>
    <w:p w:rsidR="008645DF" w:rsidRPr="00887742" w:rsidRDefault="008645DF" w:rsidP="008645DF">
      <w:pPr>
        <w:pStyle w:val="Titre3"/>
        <w:jc w:val="both"/>
        <w:rPr>
          <w:rFonts w:ascii="Arial" w:hAnsi="Arial" w:cs="Arial"/>
          <w:b w:val="0"/>
          <w:sz w:val="20"/>
          <w:szCs w:val="20"/>
        </w:rPr>
      </w:pPr>
      <w:r w:rsidRPr="00887742">
        <w:rPr>
          <w:rFonts w:ascii="Arial" w:hAnsi="Arial" w:cs="Arial"/>
          <w:b w:val="0"/>
          <w:sz w:val="20"/>
          <w:szCs w:val="20"/>
        </w:rPr>
        <w:t xml:space="preserve"> </w:t>
      </w:r>
      <w:r w:rsidRPr="00887742">
        <w:rPr>
          <w:rStyle w:val="lev"/>
          <w:rFonts w:ascii="Arial" w:hAnsi="Arial" w:cs="Arial"/>
          <w:sz w:val="20"/>
          <w:szCs w:val="20"/>
        </w:rPr>
        <w:t xml:space="preserve">KE2 </w:t>
      </w:r>
    </w:p>
    <w:p w:rsidR="008645DF" w:rsidRPr="005935A4" w:rsidRDefault="008645DF" w:rsidP="008A5905">
      <w:pPr>
        <w:spacing w:before="100" w:beforeAutospacing="1" w:after="100" w:afterAutospacing="1"/>
        <w:ind w:left="0" w:firstLine="0"/>
        <w:rPr>
          <w:rFonts w:ascii="Arial" w:hAnsi="Arial" w:cs="Arial"/>
          <w:sz w:val="20"/>
          <w:szCs w:val="20"/>
        </w:rPr>
      </w:pPr>
      <w:r w:rsidRPr="005935A4">
        <w:rPr>
          <w:rFonts w:ascii="Arial" w:hAnsi="Arial" w:cs="Arial"/>
          <w:sz w:val="20"/>
          <w:szCs w:val="20"/>
        </w:rPr>
        <w:t>Modulation (diminution ou augmentation) de l’expression ou de la densité des récepteurs synaptiques des neurotransmetteurs (ex. : récepteurs muscariniques de l’acétylcholine).</w:t>
      </w:r>
    </w:p>
    <w:p w:rsidR="008645DF" w:rsidRPr="00887742" w:rsidRDefault="008645DF" w:rsidP="008645DF">
      <w:pPr>
        <w:pStyle w:val="Titre3"/>
        <w:jc w:val="both"/>
        <w:rPr>
          <w:rFonts w:ascii="Arial" w:hAnsi="Arial" w:cs="Arial"/>
          <w:sz w:val="20"/>
          <w:szCs w:val="20"/>
        </w:rPr>
      </w:pPr>
      <w:r w:rsidRPr="00887742">
        <w:rPr>
          <w:rStyle w:val="lev"/>
          <w:rFonts w:ascii="Arial" w:hAnsi="Arial" w:cs="Arial"/>
          <w:sz w:val="20"/>
          <w:szCs w:val="20"/>
        </w:rPr>
        <w:t>KE3</w:t>
      </w:r>
    </w:p>
    <w:p w:rsidR="008645DF" w:rsidRPr="005935A4" w:rsidRDefault="008645DF" w:rsidP="008A5905">
      <w:pPr>
        <w:spacing w:before="100" w:beforeAutospacing="1" w:after="100" w:afterAutospacing="1"/>
        <w:ind w:left="0" w:firstLine="0"/>
        <w:rPr>
          <w:rFonts w:ascii="Arial" w:hAnsi="Arial" w:cs="Arial"/>
          <w:sz w:val="20"/>
          <w:szCs w:val="20"/>
        </w:rPr>
      </w:pPr>
      <w:r w:rsidRPr="005935A4">
        <w:rPr>
          <w:rFonts w:ascii="Arial" w:hAnsi="Arial" w:cs="Arial"/>
          <w:sz w:val="20"/>
          <w:szCs w:val="20"/>
        </w:rPr>
        <w:t>Perturbation de la transmission synaptique et des circuits neuronaux associés à la mémoire, la cognition, le comportement émotionnel.</w:t>
      </w:r>
    </w:p>
    <w:p w:rsidR="008645DF" w:rsidRPr="008A5905" w:rsidRDefault="008645DF" w:rsidP="008645DF">
      <w:pPr>
        <w:pStyle w:val="Titre3"/>
        <w:jc w:val="both"/>
        <w:rPr>
          <w:rFonts w:ascii="Arial" w:hAnsi="Arial" w:cs="Arial"/>
          <w:b w:val="0"/>
          <w:sz w:val="20"/>
          <w:szCs w:val="20"/>
        </w:rPr>
      </w:pPr>
      <w:r w:rsidRPr="008A5905">
        <w:rPr>
          <w:rStyle w:val="lev"/>
          <w:rFonts w:ascii="Arial" w:hAnsi="Arial" w:cs="Arial"/>
          <w:b/>
          <w:sz w:val="20"/>
          <w:szCs w:val="20"/>
        </w:rPr>
        <w:t>Adverse Outcome</w:t>
      </w:r>
    </w:p>
    <w:p w:rsidR="008645DF" w:rsidRPr="005935A4" w:rsidRDefault="008645DF" w:rsidP="008A5905">
      <w:pPr>
        <w:spacing w:before="100" w:beforeAutospacing="1" w:after="100" w:afterAutospacing="1"/>
        <w:ind w:left="0" w:firstLine="0"/>
        <w:rPr>
          <w:rFonts w:ascii="Arial" w:hAnsi="Arial" w:cs="Arial"/>
          <w:sz w:val="20"/>
          <w:szCs w:val="20"/>
        </w:rPr>
      </w:pPr>
      <w:r w:rsidRPr="005935A4">
        <w:rPr>
          <w:rFonts w:ascii="Arial" w:hAnsi="Arial" w:cs="Arial"/>
          <w:sz w:val="20"/>
          <w:szCs w:val="20"/>
        </w:rPr>
        <w:t>Déficits cognitifs (apprentissage, mémoire), troubles émotionnels, éventuellement altérations du comportement observés chez les animaux exposés (potentiellement extrapolables à l’homme).</w:t>
      </w:r>
    </w:p>
    <w:p w:rsidR="008645DF" w:rsidRPr="008A5905" w:rsidRDefault="008645DF" w:rsidP="008645DF">
      <w:pPr>
        <w:pStyle w:val="Titre3"/>
        <w:jc w:val="both"/>
        <w:rPr>
          <w:rFonts w:ascii="Arial" w:hAnsi="Arial" w:cs="Arial"/>
          <w:b w:val="0"/>
          <w:sz w:val="20"/>
          <w:szCs w:val="20"/>
        </w:rPr>
      </w:pPr>
      <w:r w:rsidRPr="008A5905">
        <w:rPr>
          <w:rStyle w:val="lev"/>
          <w:rFonts w:ascii="Arial" w:hAnsi="Arial" w:cs="Arial"/>
          <w:b/>
          <w:sz w:val="20"/>
          <w:szCs w:val="20"/>
        </w:rPr>
        <w:t>Support empirique</w:t>
      </w:r>
    </w:p>
    <w:p w:rsidR="008645DF" w:rsidRDefault="008645DF" w:rsidP="008A5905">
      <w:pPr>
        <w:spacing w:before="100" w:beforeAutospacing="1" w:after="100" w:afterAutospacing="1"/>
        <w:ind w:left="0" w:firstLine="0"/>
        <w:rPr>
          <w:rFonts w:ascii="Arial" w:hAnsi="Arial" w:cs="Arial"/>
          <w:sz w:val="20"/>
          <w:szCs w:val="20"/>
        </w:rPr>
      </w:pPr>
      <w:r w:rsidRPr="005935A4">
        <w:rPr>
          <w:rFonts w:ascii="Arial" w:hAnsi="Arial" w:cs="Arial"/>
          <w:sz w:val="20"/>
          <w:szCs w:val="20"/>
        </w:rPr>
        <w:t>L’étude de Hu et al. (2021) apporte des données expérimentales chez le rat, avec mesure des neurotransmetteurs et de leurs récepteurs après exposition à différentes</w:t>
      </w:r>
      <w:r>
        <w:rPr>
          <w:rFonts w:ascii="Arial" w:hAnsi="Arial" w:cs="Arial"/>
          <w:sz w:val="20"/>
          <w:szCs w:val="20"/>
        </w:rPr>
        <w:t xml:space="preserve"> intensités et durées de radiofréquences.</w:t>
      </w:r>
    </w:p>
    <w:p w:rsidR="008645DF" w:rsidRDefault="008645DF" w:rsidP="008645DF">
      <w:pPr>
        <w:spacing w:before="100" w:beforeAutospacing="1" w:after="100" w:afterAutospacing="1"/>
        <w:rPr>
          <w:rFonts w:ascii="Arial" w:hAnsi="Arial" w:cs="Arial"/>
          <w:sz w:val="20"/>
          <w:szCs w:val="20"/>
        </w:rPr>
      </w:pPr>
    </w:p>
    <w:p w:rsidR="008645DF" w:rsidRDefault="008645DF" w:rsidP="008645DF">
      <w:pPr>
        <w:spacing w:before="100" w:beforeAutospacing="1" w:after="100" w:afterAutospacing="1"/>
        <w:rPr>
          <w:rFonts w:ascii="Arial" w:hAnsi="Arial" w:cs="Arial"/>
          <w:sz w:val="20"/>
          <w:szCs w:val="20"/>
        </w:rPr>
      </w:pPr>
    </w:p>
    <w:p w:rsidR="008A5905" w:rsidRDefault="008A5905" w:rsidP="008645DF">
      <w:pPr>
        <w:spacing w:before="100" w:beforeAutospacing="1" w:after="100" w:afterAutospacing="1"/>
        <w:rPr>
          <w:rFonts w:ascii="Arial" w:hAnsi="Arial" w:cs="Arial"/>
          <w:sz w:val="20"/>
          <w:szCs w:val="20"/>
        </w:rPr>
      </w:pPr>
    </w:p>
    <w:p w:rsidR="008A5905" w:rsidRDefault="008A5905" w:rsidP="008645DF">
      <w:pPr>
        <w:spacing w:before="100" w:beforeAutospacing="1" w:after="100" w:afterAutospacing="1"/>
        <w:rPr>
          <w:rFonts w:ascii="Arial" w:hAnsi="Arial" w:cs="Arial"/>
          <w:sz w:val="20"/>
          <w:szCs w:val="20"/>
        </w:rPr>
      </w:pPr>
    </w:p>
    <w:p w:rsidR="008A5905" w:rsidRDefault="008A5905" w:rsidP="008645DF">
      <w:pPr>
        <w:spacing w:before="100" w:beforeAutospacing="1" w:after="100" w:afterAutospacing="1"/>
        <w:rPr>
          <w:rFonts w:ascii="Arial" w:hAnsi="Arial" w:cs="Arial"/>
          <w:sz w:val="20"/>
          <w:szCs w:val="20"/>
        </w:rPr>
      </w:pPr>
    </w:p>
    <w:p w:rsidR="008645DF" w:rsidRPr="00C87AF9" w:rsidRDefault="008645DF" w:rsidP="009F3BB0">
      <w:pPr>
        <w:pStyle w:val="Paragraphedeliste"/>
        <w:numPr>
          <w:ilvl w:val="0"/>
          <w:numId w:val="20"/>
        </w:numPr>
        <w:spacing w:before="100" w:beforeAutospacing="1" w:after="100" w:afterAutospacing="1" w:line="276" w:lineRule="auto"/>
        <w:jc w:val="left"/>
        <w:rPr>
          <w:rFonts w:ascii="Arial" w:hAnsi="Arial" w:cs="Arial"/>
          <w:sz w:val="20"/>
          <w:szCs w:val="20"/>
        </w:rPr>
      </w:pPr>
      <w:r w:rsidRPr="00C87AF9">
        <w:rPr>
          <w:rFonts w:ascii="Arial" w:hAnsi="Arial" w:cs="Arial"/>
          <w:sz w:val="20"/>
          <w:szCs w:val="20"/>
        </w:rPr>
        <w:lastRenderedPageBreak/>
        <w:t>Quelle prise en compte par la recherche des paramètres techniques abordés dans la 1</w:t>
      </w:r>
      <w:r w:rsidRPr="00C87AF9">
        <w:rPr>
          <w:rFonts w:ascii="Arial" w:hAnsi="Arial" w:cs="Arial"/>
          <w:sz w:val="20"/>
          <w:szCs w:val="20"/>
          <w:vertAlign w:val="superscript"/>
        </w:rPr>
        <w:t>ère</w:t>
      </w:r>
      <w:r w:rsidRPr="00C87AF9">
        <w:rPr>
          <w:rFonts w:ascii="Arial" w:hAnsi="Arial" w:cs="Arial"/>
          <w:sz w:val="20"/>
          <w:szCs w:val="20"/>
        </w:rPr>
        <w:t xml:space="preserve"> partie ?</w:t>
      </w:r>
    </w:p>
    <w:tbl>
      <w:tblPr>
        <w:tblW w:w="9540" w:type="dxa"/>
        <w:tblInd w:w="55" w:type="dxa"/>
        <w:tblCellMar>
          <w:left w:w="70" w:type="dxa"/>
          <w:right w:w="70" w:type="dxa"/>
        </w:tblCellMar>
        <w:tblLook w:val="04A0"/>
      </w:tblPr>
      <w:tblGrid>
        <w:gridCol w:w="4460"/>
        <w:gridCol w:w="5080"/>
      </w:tblGrid>
      <w:tr w:rsidR="008645DF" w:rsidRPr="00C97BA2" w:rsidTr="008645DF">
        <w:trPr>
          <w:trHeight w:val="465"/>
        </w:trPr>
        <w:tc>
          <w:tcPr>
            <w:tcW w:w="4460" w:type="dxa"/>
            <w:tcBorders>
              <w:top w:val="single" w:sz="4" w:space="0" w:color="auto"/>
              <w:left w:val="single" w:sz="4" w:space="0" w:color="auto"/>
              <w:bottom w:val="single" w:sz="4" w:space="0" w:color="auto"/>
              <w:right w:val="single" w:sz="4" w:space="0" w:color="auto"/>
            </w:tcBorders>
            <w:shd w:val="clear" w:color="000000" w:fill="93CDDD"/>
            <w:noWrap/>
            <w:vAlign w:val="center"/>
            <w:hideMark/>
          </w:tcPr>
          <w:p w:rsidR="008645DF" w:rsidRPr="00C97BA2" w:rsidRDefault="008645DF" w:rsidP="008A5905">
            <w:pPr>
              <w:ind w:left="0" w:firstLine="0"/>
              <w:jc w:val="center"/>
              <w:rPr>
                <w:rFonts w:ascii="Calibri" w:eastAsia="Times New Roman" w:hAnsi="Calibri" w:cs="Calibri"/>
                <w:color w:val="000000"/>
                <w:lang w:eastAsia="fr-FR"/>
              </w:rPr>
            </w:pPr>
            <w:r w:rsidRPr="00C97BA2">
              <w:rPr>
                <w:rFonts w:ascii="Calibri" w:eastAsia="Times New Roman" w:hAnsi="Calibri" w:cs="Calibri"/>
                <w:color w:val="000000"/>
                <w:lang w:eastAsia="fr-FR"/>
              </w:rPr>
              <w:t>Facteur</w:t>
            </w:r>
          </w:p>
        </w:tc>
        <w:tc>
          <w:tcPr>
            <w:tcW w:w="5080" w:type="dxa"/>
            <w:tcBorders>
              <w:top w:val="single" w:sz="4" w:space="0" w:color="auto"/>
              <w:left w:val="nil"/>
              <w:bottom w:val="single" w:sz="4" w:space="0" w:color="auto"/>
              <w:right w:val="single" w:sz="4" w:space="0" w:color="auto"/>
            </w:tcBorders>
            <w:shd w:val="clear" w:color="000000" w:fill="93CDDD"/>
            <w:noWrap/>
            <w:vAlign w:val="center"/>
            <w:hideMark/>
          </w:tcPr>
          <w:p w:rsidR="008645DF" w:rsidRPr="00C97BA2" w:rsidRDefault="008645DF" w:rsidP="008A5905">
            <w:pPr>
              <w:ind w:left="21" w:firstLine="0"/>
              <w:jc w:val="center"/>
              <w:rPr>
                <w:rFonts w:ascii="Calibri" w:eastAsia="Times New Roman" w:hAnsi="Calibri" w:cs="Calibri"/>
                <w:color w:val="000000"/>
                <w:lang w:eastAsia="fr-FR"/>
              </w:rPr>
            </w:pPr>
            <w:r w:rsidRPr="00C97BA2">
              <w:rPr>
                <w:rFonts w:ascii="Calibri" w:eastAsia="Times New Roman" w:hAnsi="Calibri" w:cs="Calibri"/>
                <w:color w:val="000000"/>
                <w:lang w:eastAsia="fr-FR"/>
              </w:rPr>
              <w:t>Etudiés</w:t>
            </w:r>
          </w:p>
        </w:tc>
      </w:tr>
      <w:tr w:rsidR="008645DF" w:rsidRPr="00C97BA2" w:rsidTr="008645DF">
        <w:trPr>
          <w:trHeight w:val="531"/>
        </w:trPr>
        <w:tc>
          <w:tcPr>
            <w:tcW w:w="4460" w:type="dxa"/>
            <w:tcBorders>
              <w:top w:val="nil"/>
              <w:left w:val="single" w:sz="4" w:space="0" w:color="auto"/>
              <w:bottom w:val="single" w:sz="4" w:space="0" w:color="auto"/>
              <w:right w:val="single" w:sz="4" w:space="0" w:color="auto"/>
            </w:tcBorders>
            <w:shd w:val="clear" w:color="auto" w:fill="auto"/>
            <w:noWrap/>
            <w:vAlign w:val="center"/>
            <w:hideMark/>
          </w:tcPr>
          <w:p w:rsidR="008645DF" w:rsidRPr="00C97BA2" w:rsidRDefault="008645DF" w:rsidP="008A5905">
            <w:pPr>
              <w:ind w:left="0"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Fréquence porteuse (ex : 2,4 GHz pour le Wifi)</w:t>
            </w:r>
          </w:p>
        </w:tc>
        <w:tc>
          <w:tcPr>
            <w:tcW w:w="5080" w:type="dxa"/>
            <w:tcBorders>
              <w:top w:val="nil"/>
              <w:left w:val="nil"/>
              <w:bottom w:val="single" w:sz="4" w:space="0" w:color="auto"/>
              <w:right w:val="single" w:sz="4" w:space="0" w:color="auto"/>
            </w:tcBorders>
            <w:shd w:val="clear" w:color="auto" w:fill="auto"/>
            <w:noWrap/>
            <w:vAlign w:val="center"/>
            <w:hideMark/>
          </w:tcPr>
          <w:p w:rsidR="008645DF" w:rsidRPr="00C97BA2" w:rsidRDefault="008645DF" w:rsidP="008A5905">
            <w:pPr>
              <w:ind w:left="21" w:firstLine="0"/>
              <w:jc w:val="center"/>
              <w:rPr>
                <w:rFonts w:ascii="Calibri" w:eastAsia="Times New Roman" w:hAnsi="Calibri" w:cs="Calibri"/>
                <w:color w:val="000000"/>
                <w:lang w:eastAsia="fr-FR"/>
              </w:rPr>
            </w:pPr>
            <w:r w:rsidRPr="00C97BA2">
              <w:rPr>
                <w:rFonts w:ascii="Calibri" w:eastAsia="Times New Roman" w:hAnsi="Calibri" w:cs="Calibri"/>
                <w:color w:val="000000"/>
                <w:lang w:eastAsia="fr-FR"/>
              </w:rPr>
              <w:t>Paramètre étudié</w:t>
            </w:r>
          </w:p>
        </w:tc>
      </w:tr>
      <w:tr w:rsidR="008645DF" w:rsidRPr="00C97BA2" w:rsidTr="008645DF">
        <w:trPr>
          <w:trHeight w:val="567"/>
        </w:trPr>
        <w:tc>
          <w:tcPr>
            <w:tcW w:w="4460" w:type="dxa"/>
            <w:tcBorders>
              <w:top w:val="nil"/>
              <w:left w:val="single" w:sz="4" w:space="0" w:color="auto"/>
              <w:bottom w:val="single" w:sz="4" w:space="0" w:color="auto"/>
              <w:right w:val="single" w:sz="4" w:space="0" w:color="auto"/>
            </w:tcBorders>
            <w:shd w:val="clear" w:color="auto" w:fill="auto"/>
            <w:noWrap/>
            <w:vAlign w:val="center"/>
            <w:hideMark/>
          </w:tcPr>
          <w:p w:rsidR="008645DF" w:rsidRPr="00C97BA2" w:rsidRDefault="008645DF" w:rsidP="008A5905">
            <w:pPr>
              <w:ind w:left="0"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Puissance (DAS ou SAR)</w:t>
            </w:r>
          </w:p>
        </w:tc>
        <w:tc>
          <w:tcPr>
            <w:tcW w:w="5080" w:type="dxa"/>
            <w:tcBorders>
              <w:top w:val="nil"/>
              <w:left w:val="nil"/>
              <w:bottom w:val="single" w:sz="4" w:space="0" w:color="auto"/>
              <w:right w:val="single" w:sz="4" w:space="0" w:color="auto"/>
            </w:tcBorders>
            <w:shd w:val="clear" w:color="auto" w:fill="auto"/>
            <w:noWrap/>
            <w:vAlign w:val="center"/>
            <w:hideMark/>
          </w:tcPr>
          <w:p w:rsidR="008645DF" w:rsidRPr="00C97BA2" w:rsidRDefault="008645DF" w:rsidP="008A5905">
            <w:pPr>
              <w:ind w:left="21" w:firstLine="0"/>
              <w:jc w:val="center"/>
              <w:rPr>
                <w:rFonts w:ascii="Calibri" w:eastAsia="Times New Roman" w:hAnsi="Calibri" w:cs="Calibri"/>
                <w:color w:val="000000"/>
                <w:lang w:eastAsia="fr-FR"/>
              </w:rPr>
            </w:pPr>
            <w:r w:rsidRPr="00C97BA2">
              <w:rPr>
                <w:rFonts w:ascii="Calibri" w:eastAsia="Times New Roman" w:hAnsi="Calibri" w:cs="Calibri"/>
                <w:color w:val="000000"/>
                <w:lang w:eastAsia="fr-FR"/>
              </w:rPr>
              <w:t>Paramètre étudié</w:t>
            </w:r>
          </w:p>
        </w:tc>
      </w:tr>
      <w:tr w:rsidR="008645DF" w:rsidRPr="00C97BA2" w:rsidTr="008645DF">
        <w:trPr>
          <w:trHeight w:val="986"/>
        </w:trPr>
        <w:tc>
          <w:tcPr>
            <w:tcW w:w="4460" w:type="dxa"/>
            <w:tcBorders>
              <w:top w:val="nil"/>
              <w:left w:val="single" w:sz="4" w:space="0" w:color="auto"/>
              <w:bottom w:val="single" w:sz="4" w:space="0" w:color="auto"/>
              <w:right w:val="single" w:sz="4" w:space="0" w:color="auto"/>
            </w:tcBorders>
            <w:shd w:val="clear" w:color="auto" w:fill="auto"/>
            <w:noWrap/>
            <w:vAlign w:val="center"/>
            <w:hideMark/>
          </w:tcPr>
          <w:p w:rsidR="008645DF" w:rsidRPr="00C97BA2" w:rsidRDefault="008645DF" w:rsidP="008A5905">
            <w:pPr>
              <w:ind w:left="0"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Durée d'exposition</w:t>
            </w:r>
          </w:p>
        </w:tc>
        <w:tc>
          <w:tcPr>
            <w:tcW w:w="5080" w:type="dxa"/>
            <w:tcBorders>
              <w:top w:val="nil"/>
              <w:left w:val="nil"/>
              <w:bottom w:val="single" w:sz="4" w:space="0" w:color="auto"/>
              <w:right w:val="single" w:sz="4" w:space="0" w:color="auto"/>
            </w:tcBorders>
            <w:shd w:val="clear" w:color="auto" w:fill="auto"/>
            <w:vAlign w:val="center"/>
            <w:hideMark/>
          </w:tcPr>
          <w:p w:rsidR="008645DF" w:rsidRPr="00C97BA2" w:rsidRDefault="008645DF" w:rsidP="008A5905">
            <w:pPr>
              <w:ind w:left="21"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La plupart du temps, l'exposition est intermittente (durée quotidienne limitée, temps de pause, 5/7 jours, quelques semaines, etc)</w:t>
            </w:r>
          </w:p>
        </w:tc>
      </w:tr>
      <w:tr w:rsidR="008645DF" w:rsidRPr="00C97BA2" w:rsidTr="008645DF">
        <w:trPr>
          <w:trHeight w:val="4500"/>
        </w:trPr>
        <w:tc>
          <w:tcPr>
            <w:tcW w:w="4460" w:type="dxa"/>
            <w:tcBorders>
              <w:top w:val="nil"/>
              <w:left w:val="single" w:sz="4" w:space="0" w:color="auto"/>
              <w:bottom w:val="single" w:sz="4" w:space="0" w:color="auto"/>
              <w:right w:val="single" w:sz="4" w:space="0" w:color="auto"/>
            </w:tcBorders>
            <w:shd w:val="clear" w:color="auto" w:fill="auto"/>
            <w:vAlign w:val="center"/>
            <w:hideMark/>
          </w:tcPr>
          <w:p w:rsidR="008A5905" w:rsidRDefault="008645DF" w:rsidP="008A5905">
            <w:pPr>
              <w:ind w:left="0"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Modulation du signal</w:t>
            </w:r>
          </w:p>
          <w:p w:rsidR="008645DF" w:rsidRPr="00C97BA2" w:rsidRDefault="008645DF" w:rsidP="008A5905">
            <w:pPr>
              <w:ind w:left="0"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 xml:space="preserve">                                                                                          (façon dont l'information est encodée sur la porteuse, ex : ASK, FSK ou PSK pour le Wifi; ou bien encore CW : continuous Wave, onde non modulée)</w:t>
            </w:r>
          </w:p>
        </w:tc>
        <w:tc>
          <w:tcPr>
            <w:tcW w:w="5080" w:type="dxa"/>
            <w:tcBorders>
              <w:top w:val="nil"/>
              <w:left w:val="nil"/>
              <w:bottom w:val="single" w:sz="4" w:space="0" w:color="auto"/>
              <w:right w:val="single" w:sz="4" w:space="0" w:color="auto"/>
            </w:tcBorders>
            <w:shd w:val="clear" w:color="auto" w:fill="auto"/>
            <w:vAlign w:val="center"/>
            <w:hideMark/>
          </w:tcPr>
          <w:p w:rsidR="008645DF" w:rsidRPr="00C97BA2" w:rsidRDefault="008645DF" w:rsidP="008A5905">
            <w:pPr>
              <w:ind w:left="21"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Des études comparatives ont parfois montré qu’un même niveau de puissance entraîne des effets uniquement si le signal est modulé mais il semble que les études sur les effets biologiques des différentes modulations numériques (ASK, FSK, PSK) soient limitées. Des recherches ont été menées sur les effets des signaux modulés en téléphonie mobile et Wi-Fi, mais elles ne distinguent pas toujours les différentes techniques de modulation. La plupart des recherches se concentrent sur les effets des ondes électromagnétiques en général, plutôt que sur l’impact spécifique des techniques de modulation. Absence de méta-analyse Anses sur signaux modulés/signaux non-modulés.</w:t>
            </w:r>
          </w:p>
        </w:tc>
      </w:tr>
      <w:tr w:rsidR="008645DF" w:rsidRPr="00C97BA2" w:rsidTr="008645DF">
        <w:trPr>
          <w:trHeight w:val="860"/>
        </w:trPr>
        <w:tc>
          <w:tcPr>
            <w:tcW w:w="4460" w:type="dxa"/>
            <w:tcBorders>
              <w:top w:val="nil"/>
              <w:left w:val="single" w:sz="4" w:space="0" w:color="auto"/>
              <w:bottom w:val="single" w:sz="4" w:space="0" w:color="auto"/>
              <w:right w:val="single" w:sz="4" w:space="0" w:color="auto"/>
            </w:tcBorders>
            <w:shd w:val="clear" w:color="auto" w:fill="auto"/>
            <w:vAlign w:val="center"/>
            <w:hideMark/>
          </w:tcPr>
          <w:p w:rsidR="008A5905" w:rsidRDefault="008645DF" w:rsidP="008A5905">
            <w:pPr>
              <w:ind w:left="0"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Techniques de multiplexage</w:t>
            </w:r>
          </w:p>
          <w:p w:rsidR="008645DF" w:rsidRPr="00C97BA2" w:rsidRDefault="008645DF" w:rsidP="008A5905">
            <w:pPr>
              <w:ind w:left="0"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(ex : OFDM, OFDMA)</w:t>
            </w:r>
          </w:p>
        </w:tc>
        <w:tc>
          <w:tcPr>
            <w:tcW w:w="5080" w:type="dxa"/>
            <w:tcBorders>
              <w:top w:val="nil"/>
              <w:left w:val="nil"/>
              <w:bottom w:val="single" w:sz="4" w:space="0" w:color="auto"/>
              <w:right w:val="single" w:sz="4" w:space="0" w:color="auto"/>
            </w:tcBorders>
            <w:shd w:val="clear" w:color="auto" w:fill="auto"/>
            <w:vAlign w:val="center"/>
            <w:hideMark/>
          </w:tcPr>
          <w:p w:rsidR="008645DF" w:rsidRPr="00C97BA2" w:rsidRDefault="008645DF" w:rsidP="008A5905">
            <w:pPr>
              <w:ind w:left="21"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Les recherches spécifiques sur les effets biologiques du multiplexage en tant que tel sont limitées.</w:t>
            </w:r>
          </w:p>
        </w:tc>
      </w:tr>
      <w:tr w:rsidR="008645DF" w:rsidRPr="00C97BA2" w:rsidTr="008645DF">
        <w:trPr>
          <w:trHeight w:val="921"/>
        </w:trPr>
        <w:tc>
          <w:tcPr>
            <w:tcW w:w="4460" w:type="dxa"/>
            <w:tcBorders>
              <w:top w:val="nil"/>
              <w:left w:val="single" w:sz="4" w:space="0" w:color="auto"/>
              <w:bottom w:val="single" w:sz="4" w:space="0" w:color="auto"/>
              <w:right w:val="single" w:sz="4" w:space="0" w:color="auto"/>
            </w:tcBorders>
            <w:shd w:val="clear" w:color="auto" w:fill="auto"/>
            <w:vAlign w:val="center"/>
            <w:hideMark/>
          </w:tcPr>
          <w:p w:rsidR="008645DF" w:rsidRPr="00C97BA2" w:rsidRDefault="008645DF" w:rsidP="008A5905">
            <w:pPr>
              <w:ind w:left="0"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Ondes pulsées (oui ou non)</w:t>
            </w:r>
          </w:p>
        </w:tc>
        <w:tc>
          <w:tcPr>
            <w:tcW w:w="5080" w:type="dxa"/>
            <w:tcBorders>
              <w:top w:val="nil"/>
              <w:left w:val="nil"/>
              <w:bottom w:val="single" w:sz="4" w:space="0" w:color="auto"/>
              <w:right w:val="single" w:sz="4" w:space="0" w:color="auto"/>
            </w:tcBorders>
            <w:shd w:val="clear" w:color="auto" w:fill="auto"/>
            <w:vAlign w:val="center"/>
            <w:hideMark/>
          </w:tcPr>
          <w:p w:rsidR="008645DF" w:rsidRPr="00C97BA2" w:rsidRDefault="008645DF" w:rsidP="008A5905">
            <w:pPr>
              <w:ind w:left="21"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Le caractère pulsé des radiofréquences est étudié, mais les résultats varient en fonction des conditions expérimentales.</w:t>
            </w:r>
          </w:p>
        </w:tc>
      </w:tr>
      <w:tr w:rsidR="008645DF" w:rsidRPr="00C97BA2" w:rsidTr="008645DF">
        <w:trPr>
          <w:trHeight w:val="3319"/>
        </w:trPr>
        <w:tc>
          <w:tcPr>
            <w:tcW w:w="4460" w:type="dxa"/>
            <w:tcBorders>
              <w:top w:val="nil"/>
              <w:left w:val="single" w:sz="4" w:space="0" w:color="auto"/>
              <w:bottom w:val="single" w:sz="4" w:space="0" w:color="auto"/>
              <w:right w:val="single" w:sz="4" w:space="0" w:color="auto"/>
            </w:tcBorders>
            <w:shd w:val="clear" w:color="auto" w:fill="auto"/>
            <w:vAlign w:val="center"/>
            <w:hideMark/>
          </w:tcPr>
          <w:p w:rsidR="008645DF" w:rsidRPr="00C97BA2" w:rsidRDefault="008645DF" w:rsidP="008A5905">
            <w:pPr>
              <w:ind w:left="0"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Duty cycle (mesure du rapport entre le temps actif et la période totale, en %)</w:t>
            </w:r>
          </w:p>
        </w:tc>
        <w:tc>
          <w:tcPr>
            <w:tcW w:w="5080" w:type="dxa"/>
            <w:tcBorders>
              <w:top w:val="nil"/>
              <w:left w:val="nil"/>
              <w:bottom w:val="single" w:sz="4" w:space="0" w:color="auto"/>
              <w:right w:val="single" w:sz="4" w:space="0" w:color="auto"/>
            </w:tcBorders>
            <w:shd w:val="clear" w:color="auto" w:fill="auto"/>
            <w:vAlign w:val="center"/>
            <w:hideMark/>
          </w:tcPr>
          <w:p w:rsidR="008645DF" w:rsidRDefault="008645DF" w:rsidP="008A5905">
            <w:pPr>
              <w:spacing w:before="100" w:beforeAutospacing="1" w:after="100" w:afterAutospacing="1"/>
              <w:ind w:left="21" w:firstLine="0"/>
            </w:pPr>
            <w:r>
              <w:rPr>
                <w:rFonts w:hAnsi="Symbol"/>
              </w:rPr>
              <w:t xml:space="preserve">Le duty cycle </w:t>
            </w:r>
            <w:r>
              <w:t xml:space="preserve">a par le passé, semble-t-il, été peu </w:t>
            </w:r>
            <w:r>
              <w:rPr>
                <w:rFonts w:hAnsi="Symbol"/>
              </w:rPr>
              <w:t>pris en compte par l</w:t>
            </w:r>
            <w:r>
              <w:t xml:space="preserve">es chercheurs. Les échantillons sont exposés à un champ électromagnétique avec une certaine </w:t>
            </w:r>
            <w:r w:rsidRPr="008A5905">
              <w:rPr>
                <w:rStyle w:val="lev"/>
                <w:b w:val="0"/>
              </w:rPr>
              <w:t>puissance moyenne (W/kg)</w:t>
            </w:r>
            <w:r>
              <w:t xml:space="preserve">, sans spécifier si l’émission est </w:t>
            </w:r>
            <w:r w:rsidRPr="008A5905">
              <w:rPr>
                <w:rStyle w:val="lev"/>
                <w:b w:val="0"/>
              </w:rPr>
              <w:t>continue ou pulsée</w:t>
            </w:r>
            <w:r>
              <w:t xml:space="preserve">. Le </w:t>
            </w:r>
            <w:r w:rsidRPr="008A5905">
              <w:rPr>
                <w:rStyle w:val="lev"/>
                <w:b w:val="0"/>
              </w:rPr>
              <w:t>duty cycle (en %) est ainsi souvent négligé ou mal documenté.</w:t>
            </w:r>
            <w:r>
              <w:t xml:space="preserve"> </w:t>
            </w:r>
          </w:p>
          <w:p w:rsidR="008645DF" w:rsidRPr="00C97BA2" w:rsidRDefault="008645DF" w:rsidP="008A5905">
            <w:pPr>
              <w:spacing w:before="100" w:beforeAutospacing="1" w:after="100" w:afterAutospacing="1"/>
              <w:ind w:left="21" w:firstLine="0"/>
              <w:rPr>
                <w:rFonts w:ascii="Calibri" w:eastAsia="Times New Roman" w:hAnsi="Calibri" w:cs="Calibri"/>
                <w:color w:val="000000"/>
                <w:lang w:eastAsia="fr-FR"/>
              </w:rPr>
            </w:pPr>
            <w:r>
              <w:rPr>
                <w:rFonts w:hAnsi="Symbol"/>
              </w:rPr>
              <w:t xml:space="preserve">Pourtant, </w:t>
            </w:r>
            <w:r>
              <w:t>de récentes études</w:t>
            </w:r>
            <w:r w:rsidRPr="00C97BA2">
              <w:rPr>
                <w:rFonts w:ascii="Calibri" w:eastAsia="Times New Roman" w:hAnsi="Calibri" w:cs="Calibri"/>
                <w:color w:val="000000"/>
                <w:lang w:eastAsia="fr-FR"/>
              </w:rPr>
              <w:t xml:space="preserve"> </w:t>
            </w:r>
            <w:r>
              <w:rPr>
                <w:rFonts w:ascii="Calibri" w:eastAsia="Times New Roman" w:hAnsi="Calibri" w:cs="Calibri"/>
                <w:color w:val="000000"/>
                <w:lang w:eastAsia="fr-FR"/>
              </w:rPr>
              <w:t xml:space="preserve">ont </w:t>
            </w:r>
            <w:r w:rsidRPr="00C97BA2">
              <w:rPr>
                <w:rFonts w:ascii="Calibri" w:eastAsia="Times New Roman" w:hAnsi="Calibri" w:cs="Calibri"/>
                <w:color w:val="000000"/>
                <w:lang w:eastAsia="fr-FR"/>
              </w:rPr>
              <w:t>démontré que le duty cycle affecte les réponses biologiques (Deng et al.,</w:t>
            </w:r>
            <w:r>
              <w:rPr>
                <w:rFonts w:ascii="Calibri" w:eastAsia="Times New Roman" w:hAnsi="Calibri" w:cs="Calibri"/>
                <w:color w:val="000000"/>
                <w:lang w:eastAsia="fr-FR"/>
              </w:rPr>
              <w:t xml:space="preserve"> Apr 2024; Liu et al., Feb 2024)</w:t>
            </w:r>
          </w:p>
        </w:tc>
      </w:tr>
      <w:tr w:rsidR="008645DF" w:rsidRPr="00C97BA2" w:rsidTr="008645DF">
        <w:trPr>
          <w:trHeight w:val="900"/>
        </w:trPr>
        <w:tc>
          <w:tcPr>
            <w:tcW w:w="4460" w:type="dxa"/>
            <w:tcBorders>
              <w:top w:val="nil"/>
              <w:left w:val="single" w:sz="4" w:space="0" w:color="auto"/>
              <w:bottom w:val="single" w:sz="4" w:space="0" w:color="auto"/>
              <w:right w:val="single" w:sz="4" w:space="0" w:color="auto"/>
            </w:tcBorders>
            <w:shd w:val="clear" w:color="auto" w:fill="auto"/>
            <w:vAlign w:val="center"/>
            <w:hideMark/>
          </w:tcPr>
          <w:p w:rsidR="008645DF" w:rsidRPr="00C97BA2" w:rsidRDefault="008645DF" w:rsidP="008A5905">
            <w:pPr>
              <w:ind w:left="0"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Débit binaire (ou Bit rate : nombre de bits / seconde, il mesure la quantité d'information transmise dans le temps)</w:t>
            </w:r>
          </w:p>
        </w:tc>
        <w:tc>
          <w:tcPr>
            <w:tcW w:w="5080" w:type="dxa"/>
            <w:tcBorders>
              <w:top w:val="nil"/>
              <w:left w:val="nil"/>
              <w:bottom w:val="single" w:sz="4" w:space="0" w:color="auto"/>
              <w:right w:val="single" w:sz="4" w:space="0" w:color="auto"/>
            </w:tcBorders>
            <w:shd w:val="clear" w:color="auto" w:fill="auto"/>
            <w:vAlign w:val="center"/>
            <w:hideMark/>
          </w:tcPr>
          <w:p w:rsidR="008645DF" w:rsidRPr="00C97BA2" w:rsidRDefault="008645DF" w:rsidP="008A5905">
            <w:pPr>
              <w:ind w:left="21"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Le débit binaire en soi ne semble pas directement étudié en tant que facteur biologique.</w:t>
            </w:r>
          </w:p>
        </w:tc>
      </w:tr>
      <w:tr w:rsidR="008645DF" w:rsidRPr="00C97BA2" w:rsidTr="008645DF">
        <w:trPr>
          <w:trHeight w:val="665"/>
        </w:trPr>
        <w:tc>
          <w:tcPr>
            <w:tcW w:w="4460" w:type="dxa"/>
            <w:tcBorders>
              <w:top w:val="nil"/>
              <w:left w:val="single" w:sz="4" w:space="0" w:color="auto"/>
              <w:bottom w:val="single" w:sz="4" w:space="0" w:color="auto"/>
              <w:right w:val="single" w:sz="4" w:space="0" w:color="auto"/>
            </w:tcBorders>
            <w:shd w:val="clear" w:color="auto" w:fill="auto"/>
            <w:noWrap/>
            <w:vAlign w:val="center"/>
            <w:hideMark/>
          </w:tcPr>
          <w:p w:rsidR="008645DF" w:rsidRPr="00C97BA2" w:rsidRDefault="008645DF" w:rsidP="008A5905">
            <w:pPr>
              <w:ind w:left="0"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 xml:space="preserve"> Puissance moyenne ou crête du signal (PAPR)</w:t>
            </w:r>
          </w:p>
        </w:tc>
        <w:tc>
          <w:tcPr>
            <w:tcW w:w="5080" w:type="dxa"/>
            <w:tcBorders>
              <w:top w:val="nil"/>
              <w:left w:val="nil"/>
              <w:bottom w:val="single" w:sz="4" w:space="0" w:color="auto"/>
              <w:right w:val="single" w:sz="4" w:space="0" w:color="auto"/>
            </w:tcBorders>
            <w:shd w:val="clear" w:color="auto" w:fill="auto"/>
            <w:noWrap/>
            <w:vAlign w:val="center"/>
            <w:hideMark/>
          </w:tcPr>
          <w:p w:rsidR="008645DF" w:rsidRPr="00C97BA2" w:rsidRDefault="008645DF" w:rsidP="008A5905">
            <w:pPr>
              <w:ind w:left="21" w:firstLine="0"/>
              <w:rPr>
                <w:rFonts w:ascii="Calibri" w:eastAsia="Times New Roman" w:hAnsi="Calibri" w:cs="Calibri"/>
                <w:color w:val="000000"/>
                <w:lang w:eastAsia="fr-FR"/>
              </w:rPr>
            </w:pPr>
            <w:r w:rsidRPr="00C97BA2">
              <w:rPr>
                <w:rFonts w:ascii="Calibri" w:eastAsia="Times New Roman" w:hAnsi="Calibri" w:cs="Calibri"/>
                <w:color w:val="000000"/>
                <w:lang w:eastAsia="fr-FR"/>
              </w:rPr>
              <w:t>C</w:t>
            </w:r>
            <w:r>
              <w:rPr>
                <w:rFonts w:ascii="Calibri" w:eastAsia="Times New Roman" w:hAnsi="Calibri" w:cs="Calibri"/>
                <w:color w:val="000000"/>
                <w:lang w:eastAsia="fr-FR"/>
              </w:rPr>
              <w:t xml:space="preserve">e paramètre  semble peu abordé par les </w:t>
            </w:r>
            <w:r>
              <w:t>études biologiques évaluant les effets des radiofréquences.</w:t>
            </w:r>
          </w:p>
        </w:tc>
      </w:tr>
    </w:tbl>
    <w:p w:rsidR="008645DF" w:rsidRDefault="008645DF" w:rsidP="009F3BB0">
      <w:pPr>
        <w:pStyle w:val="Paragraphedeliste"/>
        <w:numPr>
          <w:ilvl w:val="0"/>
          <w:numId w:val="20"/>
        </w:numPr>
        <w:spacing w:before="100" w:beforeAutospacing="1" w:after="100" w:afterAutospacing="1"/>
        <w:jc w:val="left"/>
        <w:rPr>
          <w:rFonts w:ascii="Arial" w:hAnsi="Arial" w:cs="Arial"/>
          <w:sz w:val="20"/>
          <w:szCs w:val="20"/>
        </w:rPr>
      </w:pPr>
      <w:r w:rsidRPr="006818E2">
        <w:rPr>
          <w:rFonts w:ascii="Arial" w:hAnsi="Arial" w:cs="Arial"/>
          <w:b/>
          <w:sz w:val="20"/>
          <w:szCs w:val="20"/>
        </w:rPr>
        <w:lastRenderedPageBreak/>
        <w:t>Retour sur le pré-rapport Radiofréquences et cancer, ANSES (2024)</w:t>
      </w:r>
      <w:r w:rsidRPr="00DA4B50">
        <w:rPr>
          <w:rFonts w:ascii="Arial" w:hAnsi="Arial" w:cs="Arial"/>
          <w:sz w:val="20"/>
          <w:szCs w:val="20"/>
        </w:rPr>
        <w:t> :</w:t>
      </w:r>
    </w:p>
    <w:p w:rsidR="008645DF" w:rsidRPr="003464E4" w:rsidRDefault="008645DF" w:rsidP="005F3259">
      <w:pPr>
        <w:spacing w:before="100" w:beforeAutospacing="1" w:after="100" w:afterAutospacing="1"/>
        <w:ind w:left="0" w:firstLine="0"/>
        <w:rPr>
          <w:rFonts w:ascii="Arial" w:hAnsi="Arial" w:cs="Arial"/>
          <w:sz w:val="20"/>
          <w:szCs w:val="20"/>
        </w:rPr>
      </w:pPr>
      <w:r>
        <w:rPr>
          <w:rFonts w:ascii="Arial" w:hAnsi="Arial" w:cs="Arial"/>
          <w:sz w:val="20"/>
          <w:szCs w:val="20"/>
        </w:rPr>
        <w:t xml:space="preserve">1. Composition du groupe de travail : </w:t>
      </w:r>
      <w:r w:rsidRPr="005935A4">
        <w:rPr>
          <w:rFonts w:ascii="Arial" w:hAnsi="Arial" w:cs="Arial"/>
          <w:sz w:val="20"/>
          <w:szCs w:val="20"/>
        </w:rPr>
        <w:t>pas</w:t>
      </w:r>
      <w:r>
        <w:rPr>
          <w:rFonts w:ascii="Arial" w:hAnsi="Arial" w:cs="Arial"/>
          <w:sz w:val="20"/>
          <w:szCs w:val="20"/>
        </w:rPr>
        <w:t xml:space="preserve"> de toxicologues dans l’équipe (audition de </w:t>
      </w:r>
      <w:r w:rsidRPr="005935A4">
        <w:rPr>
          <w:rFonts w:ascii="Arial" w:hAnsi="Arial" w:cs="Arial"/>
          <w:sz w:val="20"/>
          <w:szCs w:val="20"/>
        </w:rPr>
        <w:t>Kate GUYTON, toxicolo</w:t>
      </w:r>
      <w:r>
        <w:rPr>
          <w:rFonts w:ascii="Arial" w:hAnsi="Arial" w:cs="Arial"/>
          <w:sz w:val="20"/>
          <w:szCs w:val="20"/>
        </w:rPr>
        <w:t xml:space="preserve">gue sénior au CIRC, </w:t>
      </w:r>
      <w:r w:rsidRPr="005935A4">
        <w:rPr>
          <w:rFonts w:ascii="Arial" w:hAnsi="Arial" w:cs="Arial"/>
          <w:sz w:val="20"/>
          <w:szCs w:val="20"/>
        </w:rPr>
        <w:t>en tant que personnalité extérieure</w:t>
      </w:r>
      <w:r>
        <w:rPr>
          <w:rFonts w:ascii="Arial" w:hAnsi="Arial" w:cs="Arial"/>
          <w:sz w:val="20"/>
          <w:szCs w:val="20"/>
        </w:rPr>
        <w:t>)</w:t>
      </w:r>
    </w:p>
    <w:p w:rsidR="008645DF" w:rsidRDefault="008645DF" w:rsidP="005F3259">
      <w:pPr>
        <w:spacing w:before="100" w:beforeAutospacing="1" w:after="100" w:afterAutospacing="1"/>
        <w:ind w:left="0" w:firstLine="0"/>
        <w:rPr>
          <w:rFonts w:ascii="Arial" w:hAnsi="Arial" w:cs="Arial"/>
          <w:sz w:val="20"/>
          <w:szCs w:val="20"/>
        </w:rPr>
      </w:pPr>
      <w:r>
        <w:rPr>
          <w:rFonts w:ascii="Arial" w:hAnsi="Arial" w:cs="Arial"/>
          <w:sz w:val="20"/>
          <w:szCs w:val="20"/>
        </w:rPr>
        <w:t>2</w:t>
      </w:r>
      <w:r w:rsidRPr="00DA4B50">
        <w:rPr>
          <w:rFonts w:ascii="Arial" w:hAnsi="Arial" w:cs="Arial"/>
          <w:sz w:val="20"/>
          <w:szCs w:val="20"/>
        </w:rPr>
        <w:t xml:space="preserve">. </w:t>
      </w:r>
      <w:r>
        <w:rPr>
          <w:rFonts w:ascii="Arial" w:hAnsi="Arial" w:cs="Arial"/>
          <w:sz w:val="20"/>
          <w:szCs w:val="20"/>
        </w:rPr>
        <w:t>Les lignes de preuve omiques sont écartées :</w:t>
      </w:r>
    </w:p>
    <w:p w:rsidR="008645DF" w:rsidRPr="00DA4B50" w:rsidRDefault="008645DF" w:rsidP="005F3259">
      <w:pPr>
        <w:spacing w:before="100" w:beforeAutospacing="1" w:after="100" w:afterAutospacing="1"/>
        <w:ind w:left="0" w:firstLine="0"/>
        <w:rPr>
          <w:rFonts w:ascii="Arial" w:hAnsi="Arial" w:cs="Arial"/>
          <w:sz w:val="20"/>
          <w:szCs w:val="20"/>
        </w:rPr>
      </w:pPr>
      <w:r>
        <w:rPr>
          <w:rFonts w:ascii="Arial" w:hAnsi="Arial" w:cs="Arial"/>
          <w:sz w:val="20"/>
          <w:szCs w:val="20"/>
        </w:rPr>
        <w:t>Parallèlement à une intensification de l</w:t>
      </w:r>
      <w:r w:rsidRPr="00DA4B50">
        <w:rPr>
          <w:rFonts w:ascii="Arial" w:hAnsi="Arial" w:cs="Arial"/>
          <w:sz w:val="20"/>
          <w:szCs w:val="20"/>
        </w:rPr>
        <w:t>a recherche autour des</w:t>
      </w:r>
      <w:r>
        <w:rPr>
          <w:rFonts w:ascii="Arial" w:hAnsi="Arial" w:cs="Arial"/>
          <w:sz w:val="20"/>
          <w:szCs w:val="20"/>
        </w:rPr>
        <w:t xml:space="preserve"> effets biologiques </w:t>
      </w:r>
      <w:r w:rsidRPr="00DA4B50">
        <w:rPr>
          <w:rFonts w:ascii="Arial" w:hAnsi="Arial" w:cs="Arial"/>
          <w:sz w:val="20"/>
          <w:szCs w:val="20"/>
        </w:rPr>
        <w:t xml:space="preserve">des radiofréquences des technologies sans </w:t>
      </w:r>
      <w:r>
        <w:rPr>
          <w:rFonts w:ascii="Arial" w:hAnsi="Arial" w:cs="Arial"/>
          <w:sz w:val="20"/>
          <w:szCs w:val="20"/>
        </w:rPr>
        <w:t xml:space="preserve">fil… </w:t>
      </w:r>
      <w:r w:rsidRPr="00DA4B50">
        <w:rPr>
          <w:rFonts w:ascii="Arial" w:hAnsi="Arial" w:cs="Arial"/>
          <w:sz w:val="20"/>
          <w:szCs w:val="20"/>
        </w:rPr>
        <w:t xml:space="preserve"> : </w:t>
      </w:r>
    </w:p>
    <w:p w:rsidR="008645DF" w:rsidRDefault="008645DF" w:rsidP="008645DF">
      <w:pPr>
        <w:spacing w:before="100" w:beforeAutospacing="1" w:after="100" w:afterAutospacing="1"/>
        <w:jc w:val="center"/>
      </w:pPr>
      <w:r>
        <w:rPr>
          <w:noProof/>
          <w:lang w:eastAsia="fr-FR"/>
        </w:rPr>
        <w:drawing>
          <wp:inline distT="0" distB="0" distL="0" distR="0">
            <wp:extent cx="3806825" cy="1837690"/>
            <wp:effectExtent l="19050" t="0" r="3175" b="0"/>
            <wp:docPr id="11" name="Image 19" descr="Etudes effets biologiques sanitaires des radiofrequ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tudes effets biologiques sanitaires des radiofrequences"/>
                    <pic:cNvPicPr>
                      <a:picLocks noChangeAspect="1" noChangeArrowheads="1"/>
                    </pic:cNvPicPr>
                  </pic:nvPicPr>
                  <pic:blipFill>
                    <a:blip r:embed="rId48"/>
                    <a:srcRect/>
                    <a:stretch>
                      <a:fillRect/>
                    </a:stretch>
                  </pic:blipFill>
                  <pic:spPr bwMode="auto">
                    <a:xfrm>
                      <a:off x="0" y="0"/>
                      <a:ext cx="3806825" cy="1837690"/>
                    </a:xfrm>
                    <a:prstGeom prst="rect">
                      <a:avLst/>
                    </a:prstGeom>
                    <a:noFill/>
                    <a:ln w="9525">
                      <a:noFill/>
                      <a:miter lim="800000"/>
                      <a:headEnd/>
                      <a:tailEnd/>
                    </a:ln>
                  </pic:spPr>
                </pic:pic>
              </a:graphicData>
            </a:graphic>
          </wp:inline>
        </w:drawing>
      </w:r>
    </w:p>
    <w:p w:rsidR="008645DF" w:rsidRPr="005F3259" w:rsidRDefault="008645DF" w:rsidP="005F3259">
      <w:pPr>
        <w:ind w:left="0" w:firstLine="0"/>
        <w:rPr>
          <w:rFonts w:ascii="Arial" w:hAnsi="Arial" w:cs="Arial"/>
          <w:sz w:val="20"/>
          <w:szCs w:val="20"/>
          <w:shd w:val="clear" w:color="auto" w:fill="FFFFFF"/>
        </w:rPr>
      </w:pPr>
      <w:r w:rsidRPr="005F3259">
        <w:rPr>
          <w:rFonts w:ascii="Arial" w:hAnsi="Arial" w:cs="Arial"/>
          <w:sz w:val="20"/>
          <w:szCs w:val="20"/>
        </w:rPr>
        <w:t xml:space="preserve">Figure montrant l’évolution entre 1990 et 2018 du nombre d’études relatives </w:t>
      </w:r>
      <w:r w:rsidRPr="005F3259">
        <w:rPr>
          <w:rFonts w:ascii="Arial" w:hAnsi="Arial" w:cs="Arial"/>
          <w:color w:val="000000"/>
          <w:sz w:val="20"/>
          <w:szCs w:val="20"/>
          <w:shd w:val="clear" w:color="auto" w:fill="FFFFFF"/>
        </w:rPr>
        <w:t xml:space="preserve">aux effets biologiques et </w:t>
      </w:r>
      <w:r w:rsidRPr="005F3259">
        <w:rPr>
          <w:rFonts w:ascii="Arial" w:hAnsi="Arial" w:cs="Arial"/>
          <w:sz w:val="20"/>
          <w:szCs w:val="20"/>
          <w:shd w:val="clear" w:color="auto" w:fill="FFFFFF"/>
        </w:rPr>
        <w:t>sanitaires des radiofréquences des technologies de communications sans fil</w:t>
      </w:r>
    </w:p>
    <w:p w:rsidR="008645DF" w:rsidRPr="005F3259" w:rsidRDefault="008645DF" w:rsidP="005F3259">
      <w:pPr>
        <w:spacing w:after="100" w:afterAutospacing="1"/>
        <w:ind w:left="0" w:firstLine="0"/>
        <w:rPr>
          <w:rFonts w:ascii="Arial" w:hAnsi="Arial" w:cs="Arial"/>
          <w:sz w:val="20"/>
          <w:szCs w:val="20"/>
        </w:rPr>
      </w:pPr>
      <w:r w:rsidRPr="005F3259">
        <w:rPr>
          <w:rFonts w:ascii="Arial" w:hAnsi="Arial" w:cs="Arial"/>
          <w:sz w:val="20"/>
          <w:szCs w:val="20"/>
          <w:shd w:val="clear" w:color="auto" w:fill="FFFFFF"/>
        </w:rPr>
        <w:t>(source : Encyclopédie de l’environnement)</w:t>
      </w:r>
    </w:p>
    <w:p w:rsidR="008645DF" w:rsidRDefault="008645DF" w:rsidP="005F3259">
      <w:pPr>
        <w:ind w:left="0" w:firstLine="0"/>
        <w:rPr>
          <w:rFonts w:ascii="Arial" w:hAnsi="Arial" w:cs="Arial"/>
          <w:sz w:val="20"/>
          <w:szCs w:val="20"/>
        </w:rPr>
      </w:pPr>
      <w:r w:rsidRPr="005F3259">
        <w:rPr>
          <w:rFonts w:ascii="Arial" w:hAnsi="Arial" w:cs="Arial"/>
          <w:sz w:val="20"/>
          <w:szCs w:val="20"/>
        </w:rPr>
        <w:t>…l’évolution technologique des moyens mis à la disposition des chercheurs permet à l’approche omique (qui</w:t>
      </w:r>
      <w:r w:rsidRPr="00B3084D">
        <w:rPr>
          <w:rFonts w:ascii="Arial" w:hAnsi="Arial" w:cs="Arial"/>
          <w:sz w:val="20"/>
          <w:szCs w:val="20"/>
        </w:rPr>
        <w:t xml:space="preserve"> adopte une démarche globale et ne vise pas d’effet « a priori ») de se généraliser. Or  le groupe de travail pour l’établissement du pré-rapport Radiofréquences et cancer Anses a écarté les études omiques des lignes de preuve (pour des raisons exposées p.112). Ces études permettraient pourtant possiblement de détecter des effets précoces ou subtils des radiofréquences.</w:t>
      </w:r>
    </w:p>
    <w:p w:rsidR="005F3259" w:rsidRDefault="005F3259" w:rsidP="005F3259">
      <w:pPr>
        <w:ind w:left="0" w:firstLine="0"/>
        <w:rPr>
          <w:rFonts w:ascii="Arial" w:hAnsi="Arial" w:cs="Arial"/>
          <w:sz w:val="20"/>
          <w:szCs w:val="20"/>
        </w:rPr>
      </w:pPr>
    </w:p>
    <w:p w:rsidR="008645DF" w:rsidRDefault="008645DF" w:rsidP="008645DF">
      <w:pPr>
        <w:pStyle w:val="Notedebasdepage"/>
        <w:ind w:left="0" w:firstLine="0"/>
        <w:rPr>
          <w:rFonts w:ascii="Arial" w:hAnsi="Arial" w:cs="Arial"/>
          <w:shd w:val="clear" w:color="auto" w:fill="FFFFFF"/>
        </w:rPr>
      </w:pPr>
      <w:r w:rsidRPr="00346350">
        <w:rPr>
          <w:rFonts w:ascii="Arial" w:hAnsi="Arial" w:cs="Arial"/>
        </w:rPr>
        <w:t>3. La bibliographie mentionne aussi bien des études sur les effets d’une exposition à des radiofréquences intermédiaires (</w:t>
      </w:r>
      <w:r w:rsidRPr="00346350">
        <w:rPr>
          <w:rFonts w:ascii="Arial" w:hAnsi="Arial" w:cs="Arial"/>
          <w:shd w:val="clear" w:color="auto" w:fill="FFFFFF"/>
        </w:rPr>
        <w:t xml:space="preserve">123.90 kHz and 250.80 kHz, ex : Brech et al., 2019) que des études sur des ondes courtes (SW) utilisées en thérapie électromagnétique (généralement sur une fréquence de 27.12 MHz, ex : Fan et al., 2016) ou des supra-hautes fréquences de 150 GHz (ex : Franchini et al., 2018). Or la diversité d’effets des ondes électromagnétiques selon les niveaux de fréquences avait notamment été mise en exergue par Jean-Pierre LENTIN dans son ouvrage </w:t>
      </w:r>
      <w:r w:rsidRPr="00346350">
        <w:rPr>
          <w:rFonts w:ascii="Arial" w:hAnsi="Arial" w:cs="Arial"/>
          <w:i/>
          <w:shd w:val="clear" w:color="auto" w:fill="FFFFFF"/>
        </w:rPr>
        <w:t>Ces ondes qui tuent, ces ondes qui soignent</w:t>
      </w:r>
      <w:r w:rsidRPr="00346350">
        <w:rPr>
          <w:rFonts w:ascii="Arial" w:hAnsi="Arial" w:cs="Arial"/>
          <w:shd w:val="clear" w:color="auto" w:fill="FFFFFF"/>
        </w:rPr>
        <w:t xml:space="preserve"> (Albin Michel, 2004). </w:t>
      </w:r>
    </w:p>
    <w:p w:rsidR="008645DF" w:rsidRDefault="008645DF" w:rsidP="008645DF">
      <w:pPr>
        <w:pStyle w:val="Notedebasdepage"/>
        <w:ind w:left="0" w:firstLine="0"/>
        <w:rPr>
          <w:rFonts w:ascii="Arial" w:hAnsi="Arial" w:cs="Arial"/>
        </w:rPr>
      </w:pPr>
    </w:p>
    <w:p w:rsidR="008645DF" w:rsidRPr="00346350" w:rsidRDefault="008645DF" w:rsidP="008645DF">
      <w:pPr>
        <w:pStyle w:val="Notedebasdepage"/>
        <w:ind w:left="0" w:firstLine="0"/>
        <w:rPr>
          <w:rFonts w:ascii="Arial" w:hAnsi="Arial" w:cs="Arial"/>
        </w:rPr>
      </w:pPr>
      <w:r>
        <w:rPr>
          <w:rFonts w:ascii="Arial" w:hAnsi="Arial" w:cs="Arial"/>
        </w:rPr>
        <w:t>Par ailleurs, Pubmed ne semble pas avoir intégré les plus de 2000 études recensées par Zory Glaser dans sa base de données.</w:t>
      </w:r>
    </w:p>
    <w:p w:rsidR="008645DF" w:rsidRDefault="008645DF" w:rsidP="008645DF">
      <w:pPr>
        <w:rPr>
          <w:rFonts w:ascii="Arial" w:hAnsi="Arial" w:cs="Arial"/>
          <w:sz w:val="20"/>
          <w:szCs w:val="20"/>
        </w:rPr>
      </w:pPr>
    </w:p>
    <w:p w:rsidR="008645DF" w:rsidRPr="00B3084D" w:rsidRDefault="008645DF" w:rsidP="005F3259">
      <w:pPr>
        <w:ind w:left="0" w:firstLine="0"/>
        <w:rPr>
          <w:rFonts w:ascii="Arial" w:hAnsi="Arial" w:cs="Arial"/>
          <w:sz w:val="20"/>
          <w:szCs w:val="20"/>
        </w:rPr>
      </w:pPr>
      <w:r>
        <w:rPr>
          <w:rFonts w:ascii="Arial" w:hAnsi="Arial" w:cs="Arial"/>
          <w:sz w:val="20"/>
          <w:szCs w:val="20"/>
        </w:rPr>
        <w:t>4</w:t>
      </w:r>
      <w:r w:rsidRPr="00B3084D">
        <w:rPr>
          <w:rFonts w:ascii="Arial" w:hAnsi="Arial" w:cs="Arial"/>
          <w:sz w:val="20"/>
          <w:szCs w:val="20"/>
        </w:rPr>
        <w:t>.  Seuls les articles en langue anglaise et en langue française ont été recherchés (p.93). Ce qui pourrait peut-être expliquer la quasi-absence d’études russes, alors que les russes étudient de longue date la question des impacts biologiques et sanitaires des ondes électromagnétiques</w:t>
      </w:r>
      <w:r w:rsidRPr="00B3084D">
        <w:rPr>
          <w:rStyle w:val="Appelnotedebasdep"/>
          <w:rFonts w:ascii="Arial" w:hAnsi="Arial" w:cs="Arial"/>
        </w:rPr>
        <w:footnoteReference w:id="110"/>
      </w:r>
      <w:r w:rsidRPr="00B3084D">
        <w:rPr>
          <w:rFonts w:ascii="Arial" w:hAnsi="Arial" w:cs="Arial"/>
          <w:sz w:val="20"/>
          <w:szCs w:val="20"/>
        </w:rPr>
        <w:t>.</w:t>
      </w:r>
    </w:p>
    <w:p w:rsidR="008645DF" w:rsidRPr="00B3084D" w:rsidRDefault="008645DF" w:rsidP="005F3259">
      <w:pPr>
        <w:spacing w:before="100" w:beforeAutospacing="1" w:after="100" w:afterAutospacing="1"/>
        <w:ind w:left="0" w:firstLine="0"/>
        <w:rPr>
          <w:rFonts w:ascii="Arial" w:hAnsi="Arial" w:cs="Arial"/>
          <w:sz w:val="20"/>
          <w:szCs w:val="20"/>
        </w:rPr>
      </w:pPr>
      <w:r>
        <w:rPr>
          <w:rFonts w:ascii="Arial" w:hAnsi="Arial" w:cs="Arial"/>
          <w:sz w:val="20"/>
          <w:szCs w:val="20"/>
        </w:rPr>
        <w:t>5</w:t>
      </w:r>
      <w:r w:rsidRPr="00B3084D">
        <w:rPr>
          <w:rFonts w:ascii="Arial" w:hAnsi="Arial" w:cs="Arial"/>
          <w:sz w:val="20"/>
          <w:szCs w:val="20"/>
        </w:rPr>
        <w:t xml:space="preserve">. </w:t>
      </w:r>
      <w:r>
        <w:rPr>
          <w:rFonts w:ascii="Arial" w:hAnsi="Arial" w:cs="Arial"/>
          <w:sz w:val="20"/>
          <w:szCs w:val="20"/>
          <w:u w:val="single"/>
        </w:rPr>
        <w:t>Logigramme Radiofréquences</w:t>
      </w:r>
      <w:r w:rsidRPr="006818E2">
        <w:rPr>
          <w:rFonts w:ascii="Arial" w:hAnsi="Arial" w:cs="Arial"/>
          <w:sz w:val="20"/>
          <w:szCs w:val="20"/>
          <w:u w:val="single"/>
        </w:rPr>
        <w:t xml:space="preserve"> et logigramme BPA : 2 poids, 2 mesures</w:t>
      </w:r>
    </w:p>
    <w:p w:rsidR="008645DF" w:rsidRPr="00B3084D" w:rsidRDefault="008645DF" w:rsidP="005F3259">
      <w:pPr>
        <w:spacing w:before="100" w:beforeAutospacing="1" w:after="100" w:afterAutospacing="1"/>
        <w:ind w:left="0" w:firstLine="0"/>
        <w:rPr>
          <w:rFonts w:ascii="Arial" w:hAnsi="Arial" w:cs="Arial"/>
          <w:sz w:val="20"/>
          <w:szCs w:val="20"/>
        </w:rPr>
      </w:pPr>
      <w:r w:rsidRPr="00B3084D">
        <w:rPr>
          <w:rFonts w:ascii="Arial" w:hAnsi="Arial" w:cs="Arial"/>
          <w:sz w:val="20"/>
          <w:szCs w:val="20"/>
        </w:rPr>
        <w:t xml:space="preserve">Pour le rapport d’expertise collective ANSES intitulé </w:t>
      </w:r>
      <w:r w:rsidRPr="00B3084D">
        <w:rPr>
          <w:rFonts w:ascii="Arial" w:hAnsi="Arial" w:cs="Arial"/>
          <w:i/>
          <w:sz w:val="20"/>
          <w:szCs w:val="20"/>
        </w:rPr>
        <w:t>Évaluation des risques du bisphénol A (BPA) pour la santé humaine Tome 1 </w:t>
      </w:r>
      <w:r w:rsidRPr="00B3084D">
        <w:rPr>
          <w:rStyle w:val="Appelnotedebasdep"/>
          <w:rFonts w:ascii="Arial" w:hAnsi="Arial" w:cs="Arial"/>
        </w:rPr>
        <w:footnoteReference w:id="111"/>
      </w:r>
      <w:r w:rsidRPr="00B3084D">
        <w:rPr>
          <w:rFonts w:ascii="Arial" w:hAnsi="Arial" w:cs="Arial"/>
          <w:sz w:val="20"/>
          <w:szCs w:val="20"/>
        </w:rPr>
        <w:t xml:space="preserve"> (2013), le logigramme suivant d’évaluation du niveau de preuve avait été retenu :</w:t>
      </w:r>
    </w:p>
    <w:p w:rsidR="008645DF" w:rsidRPr="00B3084D" w:rsidRDefault="008645DF" w:rsidP="008645DF">
      <w:pPr>
        <w:spacing w:before="100" w:beforeAutospacing="1" w:after="100" w:afterAutospacing="1"/>
        <w:rPr>
          <w:rFonts w:ascii="Arial" w:hAnsi="Arial" w:cs="Arial"/>
          <w:sz w:val="20"/>
          <w:szCs w:val="20"/>
        </w:rPr>
      </w:pPr>
    </w:p>
    <w:p w:rsidR="008645DF" w:rsidRPr="005935A4" w:rsidRDefault="00EE1B1E" w:rsidP="008645DF">
      <w:pPr>
        <w:jc w:val="center"/>
        <w:rPr>
          <w:rFonts w:ascii="Arial" w:hAnsi="Arial" w:cs="Arial"/>
          <w:sz w:val="20"/>
          <w:szCs w:val="20"/>
        </w:rPr>
      </w:pPr>
      <w:r>
        <w:rPr>
          <w:rFonts w:ascii="Arial" w:hAnsi="Arial" w:cs="Arial"/>
          <w:noProof/>
          <w:sz w:val="20"/>
          <w:szCs w:val="20"/>
          <w:lang w:eastAsia="fr-FR"/>
        </w:rPr>
        <w:lastRenderedPageBreak/>
        <w:pict>
          <v:shape id="_x0000_s1027" type="#_x0000_t32" style="position:absolute;left:0;text-align:left;margin-left:160.05pt;margin-top:283pt;width:21.15pt;height:33.8pt;flip:y;z-index:251661312" o:connectortype="straight">
            <v:stroke endarrow="block"/>
          </v:shape>
        </w:pict>
      </w:r>
      <w:r>
        <w:rPr>
          <w:rFonts w:ascii="Arial" w:hAnsi="Arial" w:cs="Arial"/>
          <w:noProof/>
          <w:sz w:val="20"/>
          <w:szCs w:val="20"/>
          <w:lang w:eastAsia="fr-FR"/>
        </w:rPr>
        <w:pict>
          <v:shape id="_x0000_s1028" type="#_x0000_t32" style="position:absolute;left:0;text-align:left;margin-left:391.8pt;margin-top:283pt;width:22pt;height:34.55pt;flip:y;z-index:251662336" o:connectortype="straight">
            <v:stroke endarrow="block"/>
          </v:shape>
        </w:pict>
      </w:r>
      <w:r w:rsidR="008645DF" w:rsidRPr="005935A4">
        <w:rPr>
          <w:rFonts w:ascii="Arial" w:hAnsi="Arial" w:cs="Arial"/>
          <w:noProof/>
          <w:sz w:val="20"/>
          <w:szCs w:val="20"/>
          <w:lang w:eastAsia="fr-FR"/>
        </w:rPr>
        <w:drawing>
          <wp:inline distT="0" distB="0" distL="0" distR="0">
            <wp:extent cx="6339205" cy="4202430"/>
            <wp:effectExtent l="19050" t="0" r="4445" b="0"/>
            <wp:docPr id="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srcRect/>
                    <a:stretch>
                      <a:fillRect/>
                    </a:stretch>
                  </pic:blipFill>
                  <pic:spPr bwMode="auto">
                    <a:xfrm>
                      <a:off x="0" y="0"/>
                      <a:ext cx="6339205" cy="4202430"/>
                    </a:xfrm>
                    <a:prstGeom prst="rect">
                      <a:avLst/>
                    </a:prstGeom>
                    <a:noFill/>
                    <a:ln w="9525">
                      <a:noFill/>
                      <a:miter lim="800000"/>
                      <a:headEnd/>
                      <a:tailEnd/>
                    </a:ln>
                  </pic:spPr>
                </pic:pic>
              </a:graphicData>
            </a:graphic>
          </wp:inline>
        </w:drawing>
      </w:r>
    </w:p>
    <w:p w:rsidR="008645DF" w:rsidRDefault="008645DF" w:rsidP="005F3259">
      <w:pPr>
        <w:ind w:left="0" w:firstLine="0"/>
        <w:rPr>
          <w:rFonts w:ascii="Arial" w:hAnsi="Arial" w:cs="Arial"/>
          <w:sz w:val="20"/>
          <w:szCs w:val="20"/>
        </w:rPr>
      </w:pPr>
      <w:r>
        <w:rPr>
          <w:rFonts w:ascii="Arial" w:hAnsi="Arial" w:cs="Arial"/>
          <w:sz w:val="20"/>
          <w:szCs w:val="20"/>
        </w:rPr>
        <w:t xml:space="preserve">Source : extrait du rapport ANSES </w:t>
      </w:r>
      <w:r w:rsidRPr="002F288B">
        <w:rPr>
          <w:rFonts w:ascii="Arial" w:hAnsi="Arial" w:cs="Arial"/>
          <w:i/>
          <w:sz w:val="20"/>
          <w:szCs w:val="20"/>
        </w:rPr>
        <w:t>Évaluation des risques du bisphénol A (BPA) pour la santé humaine Tome 1 </w:t>
      </w:r>
      <w:r w:rsidRPr="002F288B">
        <w:rPr>
          <w:rStyle w:val="Appelnotedebasdep"/>
          <w:rFonts w:ascii="Arial" w:hAnsi="Arial" w:cs="Arial"/>
        </w:rPr>
        <w:footnoteReference w:id="112"/>
      </w:r>
      <w:r w:rsidRPr="002F288B">
        <w:rPr>
          <w:rFonts w:ascii="Arial" w:hAnsi="Arial" w:cs="Arial"/>
          <w:sz w:val="20"/>
          <w:szCs w:val="20"/>
        </w:rPr>
        <w:t xml:space="preserve"> (2013)</w:t>
      </w:r>
    </w:p>
    <w:p w:rsidR="00FD065C" w:rsidRDefault="00FD065C" w:rsidP="005F3259">
      <w:pPr>
        <w:ind w:left="0" w:firstLine="0"/>
        <w:rPr>
          <w:rFonts w:ascii="Arial" w:hAnsi="Arial" w:cs="Arial"/>
          <w:sz w:val="20"/>
          <w:szCs w:val="20"/>
        </w:rPr>
      </w:pPr>
    </w:p>
    <w:p w:rsidR="005F3259" w:rsidRPr="005935A4" w:rsidRDefault="005F3259" w:rsidP="005F3259">
      <w:pPr>
        <w:ind w:left="0" w:firstLine="0"/>
        <w:rPr>
          <w:rFonts w:ascii="Arial" w:hAnsi="Arial" w:cs="Arial"/>
          <w:sz w:val="20"/>
          <w:szCs w:val="20"/>
        </w:rPr>
      </w:pPr>
    </w:p>
    <w:p w:rsidR="008645DF" w:rsidRDefault="008645DF" w:rsidP="005F3259">
      <w:pPr>
        <w:ind w:left="0" w:firstLine="0"/>
        <w:rPr>
          <w:rFonts w:ascii="Arial" w:hAnsi="Arial" w:cs="Arial"/>
          <w:sz w:val="20"/>
          <w:szCs w:val="20"/>
        </w:rPr>
      </w:pPr>
      <w:r>
        <w:rPr>
          <w:rFonts w:ascii="Arial" w:hAnsi="Arial" w:cs="Arial"/>
          <w:sz w:val="20"/>
          <w:szCs w:val="20"/>
        </w:rPr>
        <w:t>La n</w:t>
      </w:r>
      <w:r w:rsidRPr="005935A4">
        <w:rPr>
          <w:rFonts w:ascii="Arial" w:hAnsi="Arial" w:cs="Arial"/>
          <w:sz w:val="20"/>
          <w:szCs w:val="20"/>
        </w:rPr>
        <w:t>o</w:t>
      </w:r>
      <w:r>
        <w:rPr>
          <w:rFonts w:ascii="Arial" w:hAnsi="Arial" w:cs="Arial"/>
          <w:sz w:val="20"/>
          <w:szCs w:val="20"/>
        </w:rPr>
        <w:t>tion d’e</w:t>
      </w:r>
      <w:r w:rsidRPr="005935A4">
        <w:rPr>
          <w:rFonts w:ascii="Arial" w:hAnsi="Arial" w:cs="Arial"/>
          <w:sz w:val="20"/>
          <w:szCs w:val="20"/>
        </w:rPr>
        <w:t xml:space="preserve">ffet suspecté </w:t>
      </w:r>
      <w:r>
        <w:rPr>
          <w:rFonts w:ascii="Arial" w:hAnsi="Arial" w:cs="Arial"/>
          <w:sz w:val="20"/>
          <w:szCs w:val="20"/>
        </w:rPr>
        <w:t>(celle qui ouvre la voie vers la mise en application du principe de précaution) y apparaissait (cf. définition AFSSET). Par ailleurs, des études uniques, non répliquées, étaient toutefois prises en compte.</w:t>
      </w:r>
    </w:p>
    <w:p w:rsidR="00FD065C" w:rsidRPr="005935A4" w:rsidRDefault="00FD065C" w:rsidP="005F3259">
      <w:pPr>
        <w:ind w:left="0" w:firstLine="0"/>
        <w:rPr>
          <w:rFonts w:ascii="Arial" w:hAnsi="Arial" w:cs="Arial"/>
          <w:sz w:val="20"/>
          <w:szCs w:val="20"/>
        </w:rPr>
      </w:pPr>
    </w:p>
    <w:p w:rsidR="008645DF" w:rsidRDefault="008645DF" w:rsidP="005F3259">
      <w:pPr>
        <w:ind w:left="0" w:firstLine="0"/>
        <w:rPr>
          <w:rFonts w:ascii="Arial" w:hAnsi="Arial" w:cs="Arial"/>
          <w:color w:val="111111"/>
          <w:sz w:val="20"/>
          <w:szCs w:val="20"/>
          <w:shd w:val="clear" w:color="auto" w:fill="FFFFFF"/>
        </w:rPr>
      </w:pPr>
      <w:r>
        <w:rPr>
          <w:rFonts w:ascii="Arial" w:hAnsi="Arial" w:cs="Arial"/>
          <w:sz w:val="20"/>
          <w:szCs w:val="20"/>
        </w:rPr>
        <w:t xml:space="preserve">Or voici </w:t>
      </w:r>
      <w:r w:rsidR="00FD065C">
        <w:rPr>
          <w:rFonts w:ascii="Arial" w:hAnsi="Arial" w:cs="Arial"/>
          <w:sz w:val="20"/>
          <w:szCs w:val="20"/>
        </w:rPr>
        <w:t xml:space="preserve">plus bas </w:t>
      </w:r>
      <w:r>
        <w:rPr>
          <w:rFonts w:ascii="Arial" w:hAnsi="Arial" w:cs="Arial"/>
          <w:sz w:val="20"/>
          <w:szCs w:val="20"/>
        </w:rPr>
        <w:t xml:space="preserve">les logigrammes employés pour </w:t>
      </w:r>
      <w:r w:rsidRPr="005935A4">
        <w:rPr>
          <w:rFonts w:ascii="Arial" w:hAnsi="Arial" w:cs="Arial"/>
          <w:color w:val="111111"/>
          <w:sz w:val="20"/>
          <w:szCs w:val="20"/>
          <w:shd w:val="clear" w:color="auto" w:fill="FFFFFF"/>
        </w:rPr>
        <w:t>les radiofréquences</w:t>
      </w:r>
      <w:r w:rsidRPr="005935A4">
        <w:rPr>
          <w:rStyle w:val="Appelnotedebasdep"/>
          <w:rFonts w:ascii="Arial" w:hAnsi="Arial" w:cs="Arial"/>
          <w:color w:val="111111"/>
          <w:shd w:val="clear" w:color="auto" w:fill="FFFFFF"/>
        </w:rPr>
        <w:footnoteReference w:id="113"/>
      </w:r>
      <w:r>
        <w:rPr>
          <w:rFonts w:ascii="Arial" w:hAnsi="Arial" w:cs="Arial"/>
          <w:color w:val="111111"/>
          <w:sz w:val="20"/>
          <w:szCs w:val="20"/>
          <w:shd w:val="clear" w:color="auto" w:fill="FFFFFF"/>
        </w:rPr>
        <w:t> : le premier est pour l’homme, le second pour l’animal.</w:t>
      </w:r>
    </w:p>
    <w:p w:rsidR="008645DF" w:rsidRDefault="008645DF" w:rsidP="005F3259">
      <w:pPr>
        <w:ind w:left="0" w:firstLine="0"/>
        <w:rPr>
          <w:rFonts w:ascii="Arial" w:hAnsi="Arial" w:cs="Arial"/>
          <w:sz w:val="20"/>
          <w:szCs w:val="20"/>
        </w:rPr>
      </w:pPr>
      <w:r>
        <w:rPr>
          <w:rFonts w:ascii="Arial" w:hAnsi="Arial" w:cs="Arial"/>
          <w:sz w:val="20"/>
          <w:szCs w:val="20"/>
        </w:rPr>
        <w:t>L</w:t>
      </w:r>
      <w:r w:rsidRPr="005935A4">
        <w:rPr>
          <w:rFonts w:ascii="Arial" w:hAnsi="Arial" w:cs="Arial"/>
          <w:sz w:val="20"/>
          <w:szCs w:val="20"/>
        </w:rPr>
        <w:t xml:space="preserve">es effets mis en évidence par une seule étude de qualité sont ici rétrogradés </w:t>
      </w:r>
      <w:r>
        <w:rPr>
          <w:rFonts w:ascii="Arial" w:hAnsi="Arial" w:cs="Arial"/>
          <w:sz w:val="20"/>
          <w:szCs w:val="20"/>
        </w:rPr>
        <w:t>d’« </w:t>
      </w:r>
      <w:r w:rsidRPr="005935A4">
        <w:rPr>
          <w:rFonts w:ascii="Arial" w:hAnsi="Arial" w:cs="Arial"/>
          <w:sz w:val="20"/>
          <w:szCs w:val="20"/>
        </w:rPr>
        <w:t>effet suspecté</w:t>
      </w:r>
      <w:r>
        <w:rPr>
          <w:rFonts w:ascii="Arial" w:hAnsi="Arial" w:cs="Arial"/>
          <w:sz w:val="20"/>
          <w:szCs w:val="20"/>
        </w:rPr>
        <w:t> »</w:t>
      </w:r>
      <w:r w:rsidRPr="005935A4">
        <w:rPr>
          <w:rFonts w:ascii="Arial" w:hAnsi="Arial" w:cs="Arial"/>
          <w:sz w:val="20"/>
          <w:szCs w:val="20"/>
        </w:rPr>
        <w:t xml:space="preserve"> à « élé</w:t>
      </w:r>
      <w:r>
        <w:rPr>
          <w:rFonts w:ascii="Arial" w:hAnsi="Arial" w:cs="Arial"/>
          <w:sz w:val="20"/>
          <w:szCs w:val="20"/>
        </w:rPr>
        <w:t>ments de preuve limités ». En outre</w:t>
      </w:r>
      <w:r w:rsidRPr="005935A4">
        <w:rPr>
          <w:rFonts w:ascii="Arial" w:hAnsi="Arial" w:cs="Arial"/>
          <w:sz w:val="20"/>
          <w:szCs w:val="20"/>
        </w:rPr>
        <w:t>, contrairement au Bisphé</w:t>
      </w:r>
      <w:r>
        <w:rPr>
          <w:rFonts w:ascii="Arial" w:hAnsi="Arial" w:cs="Arial"/>
          <w:sz w:val="20"/>
          <w:szCs w:val="20"/>
        </w:rPr>
        <w:t xml:space="preserve">nol A, les études avec limites </w:t>
      </w:r>
      <w:r w:rsidRPr="005935A4">
        <w:rPr>
          <w:rFonts w:ascii="Arial" w:hAnsi="Arial" w:cs="Arial"/>
          <w:sz w:val="20"/>
          <w:szCs w:val="20"/>
        </w:rPr>
        <w:t xml:space="preserve">méthodologiques majeures </w:t>
      </w:r>
      <w:r>
        <w:rPr>
          <w:rFonts w:ascii="Arial" w:hAnsi="Arial" w:cs="Arial"/>
          <w:sz w:val="20"/>
          <w:szCs w:val="20"/>
        </w:rPr>
        <w:t xml:space="preserve">ne </w:t>
      </w:r>
      <w:r w:rsidRPr="005935A4">
        <w:rPr>
          <w:rFonts w:ascii="Arial" w:hAnsi="Arial" w:cs="Arial"/>
          <w:sz w:val="20"/>
          <w:szCs w:val="20"/>
        </w:rPr>
        <w:t>sont pas prises en compte.</w:t>
      </w:r>
    </w:p>
    <w:p w:rsidR="00FD065C" w:rsidRPr="005935A4" w:rsidRDefault="00FD065C" w:rsidP="005F3259">
      <w:pPr>
        <w:ind w:left="0" w:firstLine="0"/>
        <w:rPr>
          <w:rFonts w:ascii="Arial" w:hAnsi="Arial" w:cs="Arial"/>
          <w:sz w:val="20"/>
          <w:szCs w:val="20"/>
        </w:rPr>
      </w:pPr>
      <w:r>
        <w:rPr>
          <w:rFonts w:ascii="Arial" w:hAnsi="Arial" w:cs="Arial"/>
          <w:sz w:val="20"/>
          <w:szCs w:val="20"/>
        </w:rPr>
        <w:t>Chaque groupe de travail adopte sa propre méthodologie, mais la non-prise en compte d’études pouvant potentiellement présenter des résultats intéressants ainsi que l’effacement de la notion d’effet suspecté est problématique.</w:t>
      </w:r>
    </w:p>
    <w:p w:rsidR="008645DF" w:rsidRPr="005935A4" w:rsidRDefault="008645DF" w:rsidP="008645DF">
      <w:pPr>
        <w:rPr>
          <w:rFonts w:ascii="Arial" w:hAnsi="Arial" w:cs="Arial"/>
          <w:color w:val="111111"/>
          <w:sz w:val="20"/>
          <w:szCs w:val="20"/>
          <w:shd w:val="clear" w:color="auto" w:fill="FFFFFF"/>
        </w:rPr>
      </w:pPr>
    </w:p>
    <w:p w:rsidR="008645DF" w:rsidRPr="005935A4" w:rsidRDefault="008645DF" w:rsidP="008645DF">
      <w:pPr>
        <w:jc w:val="center"/>
        <w:rPr>
          <w:rFonts w:ascii="Arial" w:hAnsi="Arial" w:cs="Arial"/>
          <w:sz w:val="20"/>
          <w:szCs w:val="20"/>
        </w:rPr>
      </w:pPr>
      <w:r w:rsidRPr="005935A4">
        <w:rPr>
          <w:rFonts w:ascii="Arial" w:hAnsi="Arial" w:cs="Arial"/>
          <w:noProof/>
          <w:sz w:val="20"/>
          <w:szCs w:val="20"/>
          <w:lang w:eastAsia="fr-FR"/>
        </w:rPr>
        <w:lastRenderedPageBreak/>
        <w:drawing>
          <wp:inline distT="0" distB="0" distL="0" distR="0">
            <wp:extent cx="5886450" cy="4629150"/>
            <wp:effectExtent l="19050" t="0" r="0" b="0"/>
            <wp:docPr id="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5886450" cy="4629150"/>
                    </a:xfrm>
                    <a:prstGeom prst="rect">
                      <a:avLst/>
                    </a:prstGeom>
                    <a:noFill/>
                    <a:ln w="9525">
                      <a:noFill/>
                      <a:miter lim="800000"/>
                      <a:headEnd/>
                      <a:tailEnd/>
                    </a:ln>
                  </pic:spPr>
                </pic:pic>
              </a:graphicData>
            </a:graphic>
          </wp:inline>
        </w:drawing>
      </w:r>
    </w:p>
    <w:p w:rsidR="008645DF" w:rsidRPr="005935A4" w:rsidRDefault="008645DF" w:rsidP="008645DF">
      <w:pPr>
        <w:jc w:val="center"/>
        <w:rPr>
          <w:rFonts w:ascii="Arial" w:hAnsi="Arial" w:cs="Arial"/>
          <w:sz w:val="20"/>
          <w:szCs w:val="20"/>
        </w:rPr>
      </w:pPr>
      <w:r w:rsidRPr="005935A4">
        <w:rPr>
          <w:rFonts w:ascii="Arial" w:hAnsi="Arial" w:cs="Arial"/>
          <w:noProof/>
          <w:sz w:val="20"/>
          <w:szCs w:val="20"/>
          <w:lang w:eastAsia="fr-FR"/>
        </w:rPr>
        <w:drawing>
          <wp:inline distT="0" distB="0" distL="0" distR="0">
            <wp:extent cx="5810250" cy="4362450"/>
            <wp:effectExtent l="19050" t="0" r="0" b="0"/>
            <wp:docPr id="2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srcRect/>
                    <a:stretch>
                      <a:fillRect/>
                    </a:stretch>
                  </pic:blipFill>
                  <pic:spPr bwMode="auto">
                    <a:xfrm>
                      <a:off x="0" y="0"/>
                      <a:ext cx="5810250" cy="4362450"/>
                    </a:xfrm>
                    <a:prstGeom prst="rect">
                      <a:avLst/>
                    </a:prstGeom>
                    <a:noFill/>
                    <a:ln w="9525">
                      <a:noFill/>
                      <a:miter lim="800000"/>
                      <a:headEnd/>
                      <a:tailEnd/>
                    </a:ln>
                  </pic:spPr>
                </pic:pic>
              </a:graphicData>
            </a:graphic>
          </wp:inline>
        </w:drawing>
      </w:r>
    </w:p>
    <w:p w:rsidR="008645DF" w:rsidRPr="00FC6659" w:rsidRDefault="008645DF" w:rsidP="00FD065C">
      <w:pPr>
        <w:ind w:left="0" w:firstLine="0"/>
        <w:rPr>
          <w:rFonts w:ascii="Arial" w:hAnsi="Arial" w:cs="Arial"/>
          <w:sz w:val="20"/>
          <w:szCs w:val="20"/>
          <w:shd w:val="clear" w:color="auto" w:fill="FFFFFF"/>
        </w:rPr>
      </w:pPr>
      <w:r>
        <w:rPr>
          <w:rFonts w:ascii="Arial" w:hAnsi="Arial" w:cs="Arial"/>
          <w:sz w:val="20"/>
          <w:szCs w:val="20"/>
          <w:shd w:val="clear" w:color="auto" w:fill="FFFFFF"/>
        </w:rPr>
        <w:lastRenderedPageBreak/>
        <w:t>6</w:t>
      </w:r>
      <w:r w:rsidRPr="00FC6659">
        <w:rPr>
          <w:rFonts w:ascii="Arial" w:hAnsi="Arial" w:cs="Arial"/>
          <w:sz w:val="20"/>
          <w:szCs w:val="20"/>
          <w:shd w:val="clear" w:color="auto" w:fill="FFFFFF"/>
        </w:rPr>
        <w:t>. Concernant l’effet cocktail et la cancérogénicité, le pré-rapport ANSES</w:t>
      </w:r>
      <w:r w:rsidRPr="00FC6659">
        <w:rPr>
          <w:rFonts w:ascii="Arial" w:hAnsi="Arial" w:cs="Arial"/>
          <w:i/>
          <w:sz w:val="20"/>
          <w:szCs w:val="20"/>
          <w:shd w:val="clear" w:color="auto" w:fill="FFFFFF"/>
        </w:rPr>
        <w:t xml:space="preserve"> Radiofréquences et cancer</w:t>
      </w:r>
      <w:r w:rsidRPr="00FC6659">
        <w:rPr>
          <w:rFonts w:ascii="Arial" w:hAnsi="Arial" w:cs="Arial"/>
          <w:sz w:val="20"/>
          <w:szCs w:val="20"/>
          <w:shd w:val="clear" w:color="auto" w:fill="FFFFFF"/>
        </w:rPr>
        <w:t xml:space="preserve"> n’y consacre qu’un court paragraphe « Co-expositions et effets promoteurs » (p.297), indiquant cependant l’intérêt d’une hypothèse d’un effet promoteur des radiofréquences, qui reste à valider.</w:t>
      </w:r>
    </w:p>
    <w:p w:rsidR="008645DF" w:rsidRDefault="008645DF" w:rsidP="00FD065C">
      <w:pPr>
        <w:ind w:left="0" w:firstLine="0"/>
        <w:rPr>
          <w:rFonts w:ascii="Arial" w:hAnsi="Arial" w:cs="Arial"/>
          <w:sz w:val="20"/>
          <w:szCs w:val="20"/>
        </w:rPr>
      </w:pPr>
      <w:r w:rsidRPr="00FC6659">
        <w:rPr>
          <w:rFonts w:ascii="Arial" w:hAnsi="Arial" w:cs="Arial"/>
          <w:sz w:val="20"/>
          <w:szCs w:val="20"/>
        </w:rPr>
        <w:t xml:space="preserve">Le paragraphe « Co-expositions et effets protecteurs » indique par ailleurs l’observation d’une relation dose-réponse non linéaire qui pourrait résulter d’une réponse adaptative. Mais que se passe-t-il dans le cas d’une exposition sur le long-terme ? (p.297-298) </w:t>
      </w:r>
    </w:p>
    <w:p w:rsidR="008645DF" w:rsidRPr="005935A4" w:rsidRDefault="008645DF" w:rsidP="00FD065C">
      <w:pPr>
        <w:tabs>
          <w:tab w:val="left" w:pos="1122"/>
        </w:tabs>
        <w:spacing w:before="100" w:beforeAutospacing="1" w:after="100" w:afterAutospacing="1"/>
        <w:ind w:left="0" w:firstLine="0"/>
        <w:rPr>
          <w:rFonts w:ascii="Arial" w:hAnsi="Arial" w:cs="Arial"/>
          <w:sz w:val="20"/>
          <w:szCs w:val="20"/>
        </w:rPr>
      </w:pPr>
      <w:r>
        <w:rPr>
          <w:rFonts w:ascii="Arial" w:hAnsi="Arial" w:cs="Arial"/>
          <w:sz w:val="20"/>
          <w:szCs w:val="20"/>
        </w:rPr>
        <w:t>7.</w:t>
      </w:r>
      <w:r w:rsidRPr="002A2CBA">
        <w:rPr>
          <w:rFonts w:ascii="Arial" w:hAnsi="Arial" w:cs="Arial"/>
          <w:sz w:val="20"/>
          <w:szCs w:val="20"/>
        </w:rPr>
        <w:t xml:space="preserve"> </w:t>
      </w:r>
      <w:r w:rsidRPr="005935A4">
        <w:rPr>
          <w:rFonts w:ascii="Arial" w:hAnsi="Arial" w:cs="Arial"/>
          <w:sz w:val="20"/>
          <w:szCs w:val="20"/>
        </w:rPr>
        <w:t>Que penser des durées d’exposition des animaux et de leur interprétabilité par rapport à une exposition cocktail chronique de l’humain ?</w:t>
      </w:r>
    </w:p>
    <w:p w:rsidR="008645DF" w:rsidRPr="005935A4" w:rsidRDefault="008645DF" w:rsidP="00FD065C">
      <w:pPr>
        <w:tabs>
          <w:tab w:val="left" w:pos="1122"/>
        </w:tabs>
        <w:spacing w:before="100" w:beforeAutospacing="1" w:after="100" w:afterAutospacing="1"/>
        <w:ind w:left="0" w:firstLine="0"/>
        <w:rPr>
          <w:rFonts w:ascii="Arial" w:hAnsi="Arial" w:cs="Arial"/>
          <w:sz w:val="20"/>
          <w:szCs w:val="20"/>
        </w:rPr>
      </w:pPr>
      <w:r w:rsidRPr="005935A4">
        <w:rPr>
          <w:rFonts w:ascii="Arial" w:hAnsi="Arial" w:cs="Arial"/>
          <w:sz w:val="20"/>
          <w:szCs w:val="20"/>
        </w:rPr>
        <w:t>Ainsi, si l’on repren</w:t>
      </w:r>
      <w:r>
        <w:rPr>
          <w:rFonts w:ascii="Arial" w:hAnsi="Arial" w:cs="Arial"/>
          <w:sz w:val="20"/>
          <w:szCs w:val="20"/>
        </w:rPr>
        <w:t>d les données du « Tableau 29 (</w:t>
      </w:r>
      <w:r w:rsidRPr="005935A4">
        <w:rPr>
          <w:rFonts w:ascii="Arial" w:hAnsi="Arial" w:cs="Arial"/>
          <w:sz w:val="20"/>
          <w:szCs w:val="20"/>
        </w:rPr>
        <w:t xml:space="preserve">études investiguant les effets </w:t>
      </w:r>
      <w:r>
        <w:rPr>
          <w:rFonts w:ascii="Arial" w:hAnsi="Arial" w:cs="Arial"/>
          <w:sz w:val="20"/>
          <w:szCs w:val="20"/>
        </w:rPr>
        <w:t xml:space="preserve">cancérogènes chez l'animal » </w:t>
      </w:r>
      <w:r w:rsidRPr="005935A4">
        <w:rPr>
          <w:rFonts w:ascii="Arial" w:hAnsi="Arial" w:cs="Arial"/>
          <w:sz w:val="20"/>
          <w:szCs w:val="20"/>
        </w:rPr>
        <w:t>p.242 de ce rapport) :</w:t>
      </w:r>
    </w:p>
    <w:tbl>
      <w:tblPr>
        <w:tblW w:w="10287" w:type="dxa"/>
        <w:tblInd w:w="56" w:type="dxa"/>
        <w:tblCellMar>
          <w:left w:w="70" w:type="dxa"/>
          <w:right w:w="70" w:type="dxa"/>
        </w:tblCellMar>
        <w:tblLook w:val="04A0"/>
      </w:tblPr>
      <w:tblGrid>
        <w:gridCol w:w="1108"/>
        <w:gridCol w:w="919"/>
        <w:gridCol w:w="1324"/>
        <w:gridCol w:w="1271"/>
        <w:gridCol w:w="1432"/>
        <w:gridCol w:w="1310"/>
        <w:gridCol w:w="1228"/>
        <w:gridCol w:w="1813"/>
      </w:tblGrid>
      <w:tr w:rsidR="008645DF" w:rsidRPr="005935A4" w:rsidTr="008645DF">
        <w:trPr>
          <w:trHeight w:val="900"/>
        </w:trPr>
        <w:tc>
          <w:tcPr>
            <w:tcW w:w="1086"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rsidR="008645DF" w:rsidRPr="005935A4" w:rsidRDefault="008645DF" w:rsidP="00FD065C">
            <w:pPr>
              <w:ind w:left="0" w:firstLine="0"/>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Référence</w:t>
            </w:r>
          </w:p>
        </w:tc>
        <w:tc>
          <w:tcPr>
            <w:tcW w:w="867" w:type="dxa"/>
            <w:tcBorders>
              <w:top w:val="single" w:sz="4" w:space="0" w:color="auto"/>
              <w:left w:val="nil"/>
              <w:bottom w:val="single" w:sz="4" w:space="0" w:color="auto"/>
              <w:right w:val="single" w:sz="4" w:space="0" w:color="auto"/>
            </w:tcBorders>
            <w:shd w:val="clear" w:color="000000" w:fill="B8CCE4"/>
            <w:vAlign w:val="center"/>
            <w:hideMark/>
          </w:tcPr>
          <w:p w:rsidR="008645DF" w:rsidRPr="005935A4" w:rsidRDefault="008645DF" w:rsidP="00FD065C">
            <w:pPr>
              <w:ind w:left="0" w:firstLine="0"/>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Cocktail                                                de RF ?</w:t>
            </w:r>
          </w:p>
        </w:tc>
        <w:tc>
          <w:tcPr>
            <w:tcW w:w="1324" w:type="dxa"/>
            <w:tcBorders>
              <w:top w:val="single" w:sz="4" w:space="0" w:color="auto"/>
              <w:left w:val="nil"/>
              <w:bottom w:val="single" w:sz="4" w:space="0" w:color="auto"/>
              <w:right w:val="single" w:sz="4" w:space="0" w:color="auto"/>
            </w:tcBorders>
            <w:shd w:val="clear" w:color="000000" w:fill="B8CCE4"/>
            <w:vAlign w:val="center"/>
            <w:hideMark/>
          </w:tcPr>
          <w:p w:rsidR="008645DF" w:rsidRPr="005935A4" w:rsidRDefault="008645DF" w:rsidP="00FD065C">
            <w:pPr>
              <w:ind w:left="0" w:firstLine="0"/>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Fréquences                                           testées</w:t>
            </w:r>
          </w:p>
        </w:tc>
        <w:tc>
          <w:tcPr>
            <w:tcW w:w="1271" w:type="dxa"/>
            <w:tcBorders>
              <w:top w:val="single" w:sz="4" w:space="0" w:color="auto"/>
              <w:left w:val="nil"/>
              <w:bottom w:val="single" w:sz="4" w:space="0" w:color="auto"/>
              <w:right w:val="single" w:sz="4" w:space="0" w:color="auto"/>
            </w:tcBorders>
            <w:shd w:val="clear" w:color="000000" w:fill="B8CCE4"/>
            <w:vAlign w:val="center"/>
            <w:hideMark/>
          </w:tcPr>
          <w:p w:rsidR="008645DF" w:rsidRPr="005935A4" w:rsidRDefault="008645DF" w:rsidP="00FD065C">
            <w:pPr>
              <w:ind w:left="0" w:firstLine="0"/>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Cocktail RF                                                + chimie ?</w:t>
            </w:r>
          </w:p>
        </w:tc>
        <w:tc>
          <w:tcPr>
            <w:tcW w:w="1432" w:type="dxa"/>
            <w:tcBorders>
              <w:top w:val="single" w:sz="4" w:space="0" w:color="auto"/>
              <w:left w:val="nil"/>
              <w:bottom w:val="single" w:sz="4" w:space="0" w:color="auto"/>
              <w:right w:val="single" w:sz="4" w:space="0" w:color="auto"/>
            </w:tcBorders>
            <w:shd w:val="clear" w:color="000000" w:fill="B8CCE4"/>
            <w:vAlign w:val="center"/>
            <w:hideMark/>
          </w:tcPr>
          <w:p w:rsidR="008645DF" w:rsidRPr="005935A4" w:rsidRDefault="008645DF" w:rsidP="00FD065C">
            <w:pPr>
              <w:ind w:left="0" w:firstLine="0"/>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Exposition chronique ?</w:t>
            </w:r>
          </w:p>
        </w:tc>
        <w:tc>
          <w:tcPr>
            <w:tcW w:w="1266" w:type="dxa"/>
            <w:tcBorders>
              <w:top w:val="single" w:sz="4" w:space="0" w:color="auto"/>
              <w:left w:val="nil"/>
              <w:bottom w:val="single" w:sz="4" w:space="0" w:color="auto"/>
              <w:right w:val="single" w:sz="4" w:space="0" w:color="auto"/>
            </w:tcBorders>
            <w:shd w:val="clear" w:color="000000" w:fill="B8CCE4"/>
            <w:vAlign w:val="center"/>
            <w:hideMark/>
          </w:tcPr>
          <w:p w:rsidR="008645DF" w:rsidRPr="005935A4" w:rsidRDefault="008645DF" w:rsidP="00FD065C">
            <w:pPr>
              <w:ind w:left="0" w:firstLine="0"/>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Durée                                                             d'exposition</w:t>
            </w:r>
          </w:p>
        </w:tc>
        <w:tc>
          <w:tcPr>
            <w:tcW w:w="1228" w:type="dxa"/>
            <w:tcBorders>
              <w:top w:val="single" w:sz="4" w:space="0" w:color="auto"/>
              <w:left w:val="nil"/>
              <w:bottom w:val="single" w:sz="4" w:space="0" w:color="auto"/>
              <w:right w:val="single" w:sz="4" w:space="0" w:color="auto"/>
            </w:tcBorders>
            <w:shd w:val="clear" w:color="000000" w:fill="B8CCE4"/>
            <w:vAlign w:val="center"/>
            <w:hideMark/>
          </w:tcPr>
          <w:p w:rsidR="008645DF" w:rsidRPr="005935A4" w:rsidRDefault="008645DF" w:rsidP="00FD065C">
            <w:pPr>
              <w:ind w:left="0" w:firstLine="0"/>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Exposition                             in                                            utero</w:t>
            </w:r>
          </w:p>
        </w:tc>
        <w:tc>
          <w:tcPr>
            <w:tcW w:w="1813" w:type="dxa"/>
            <w:tcBorders>
              <w:top w:val="single" w:sz="4" w:space="0" w:color="auto"/>
              <w:left w:val="nil"/>
              <w:bottom w:val="single" w:sz="4" w:space="0" w:color="auto"/>
              <w:right w:val="single" w:sz="4" w:space="0" w:color="auto"/>
            </w:tcBorders>
            <w:shd w:val="clear" w:color="000000" w:fill="B8CCE4"/>
            <w:vAlign w:val="center"/>
            <w:hideMark/>
          </w:tcPr>
          <w:p w:rsidR="008645DF" w:rsidRPr="005935A4" w:rsidRDefault="008645DF" w:rsidP="00FD065C">
            <w:pPr>
              <w:ind w:left="0" w:firstLine="0"/>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Effets cancérogènes observés</w:t>
            </w:r>
          </w:p>
        </w:tc>
      </w:tr>
      <w:tr w:rsidR="008645DF" w:rsidRPr="005935A4" w:rsidTr="008645DF">
        <w:trPr>
          <w:trHeight w:val="900"/>
        </w:trPr>
        <w:tc>
          <w:tcPr>
            <w:tcW w:w="1086"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Shirai et al.,                                   2005 et 2007</w:t>
            </w:r>
          </w:p>
        </w:tc>
        <w:tc>
          <w:tcPr>
            <w:tcW w:w="867"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324"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 xml:space="preserve">TDMA (1 439 MHz)                                                   </w:t>
            </w:r>
            <w:r w:rsidRPr="005935A4">
              <w:rPr>
                <w:rFonts w:ascii="Arial" w:eastAsia="Times New Roman" w:hAnsi="Arial" w:cs="Arial"/>
                <w:b/>
                <w:bCs/>
                <w:color w:val="000000"/>
                <w:sz w:val="20"/>
                <w:szCs w:val="20"/>
                <w:lang w:eastAsia="fr-FR"/>
              </w:rPr>
              <w:t>ou</w:t>
            </w:r>
            <w:r w:rsidRPr="005935A4">
              <w:rPr>
                <w:rFonts w:ascii="Arial" w:eastAsia="Times New Roman" w:hAnsi="Arial" w:cs="Arial"/>
                <w:color w:val="000000"/>
                <w:sz w:val="20"/>
                <w:szCs w:val="20"/>
                <w:lang w:eastAsia="fr-FR"/>
              </w:rPr>
              <w:t xml:space="preserve"> W-CDMA                               (1 950 MHz)</w:t>
            </w:r>
          </w:p>
        </w:tc>
        <w:tc>
          <w:tcPr>
            <w:tcW w:w="1271"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 (ENU*)</w:t>
            </w:r>
          </w:p>
        </w:tc>
        <w:tc>
          <w:tcPr>
            <w:tcW w:w="1432"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w:t>
            </w:r>
          </w:p>
        </w:tc>
        <w:tc>
          <w:tcPr>
            <w:tcW w:w="1266"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1,5 h/jour                                               5/7 jours                                                 2 ans</w:t>
            </w:r>
          </w:p>
        </w:tc>
        <w:tc>
          <w:tcPr>
            <w:tcW w:w="1228"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813"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r>
      <w:tr w:rsidR="008645DF" w:rsidRPr="005935A4" w:rsidTr="008645DF">
        <w:trPr>
          <w:trHeight w:val="1200"/>
        </w:trPr>
        <w:tc>
          <w:tcPr>
            <w:tcW w:w="1086"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Saran et al.,                                        2007</w:t>
            </w:r>
          </w:p>
        </w:tc>
        <w:tc>
          <w:tcPr>
            <w:tcW w:w="867"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324"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GSM 900 MHz</w:t>
            </w:r>
          </w:p>
        </w:tc>
        <w:tc>
          <w:tcPr>
            <w:tcW w:w="1271"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432"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                                              (répétée, &lt;1 mois = subaigüe)</w:t>
            </w:r>
          </w:p>
        </w:tc>
        <w:tc>
          <w:tcPr>
            <w:tcW w:w="1266"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 xml:space="preserve">2x30 min/jour                                               5 jours </w:t>
            </w:r>
          </w:p>
        </w:tc>
        <w:tc>
          <w:tcPr>
            <w:tcW w:w="1228"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813"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r>
      <w:tr w:rsidR="008645DF" w:rsidRPr="005935A4" w:rsidTr="008645DF">
        <w:trPr>
          <w:trHeight w:val="900"/>
        </w:trPr>
        <w:tc>
          <w:tcPr>
            <w:tcW w:w="1086"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Ziemann et al.,                                           2009</w:t>
            </w:r>
          </w:p>
        </w:tc>
        <w:tc>
          <w:tcPr>
            <w:tcW w:w="867"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324"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GSM (902 MHz)</w:t>
            </w:r>
            <w:r w:rsidRPr="005935A4">
              <w:rPr>
                <w:rFonts w:ascii="Arial" w:eastAsia="Times New Roman" w:hAnsi="Arial" w:cs="Arial"/>
                <w:b/>
                <w:bCs/>
                <w:color w:val="000000"/>
                <w:sz w:val="20"/>
                <w:szCs w:val="20"/>
                <w:lang w:eastAsia="fr-FR"/>
              </w:rPr>
              <w:t xml:space="preserve">                                                   ou</w:t>
            </w:r>
            <w:r w:rsidRPr="005935A4">
              <w:rPr>
                <w:rFonts w:ascii="Arial" w:eastAsia="Times New Roman" w:hAnsi="Arial" w:cs="Arial"/>
                <w:color w:val="000000"/>
                <w:sz w:val="20"/>
                <w:szCs w:val="20"/>
                <w:lang w:eastAsia="fr-FR"/>
              </w:rPr>
              <w:t xml:space="preserve"> DCS (1 747 MHz) </w:t>
            </w:r>
          </w:p>
        </w:tc>
        <w:tc>
          <w:tcPr>
            <w:tcW w:w="1271"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432"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w:t>
            </w:r>
          </w:p>
        </w:tc>
        <w:tc>
          <w:tcPr>
            <w:tcW w:w="1266" w:type="dxa"/>
            <w:tcBorders>
              <w:top w:val="nil"/>
              <w:left w:val="nil"/>
              <w:bottom w:val="single" w:sz="4" w:space="0" w:color="FF0000"/>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2 h/jour                                               5/7 jours                                                 2 ans</w:t>
            </w:r>
          </w:p>
        </w:tc>
        <w:tc>
          <w:tcPr>
            <w:tcW w:w="1228" w:type="dxa"/>
            <w:tcBorders>
              <w:top w:val="nil"/>
              <w:left w:val="nil"/>
              <w:bottom w:val="single" w:sz="4" w:space="0" w:color="FF0000"/>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813"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r>
      <w:tr w:rsidR="008645DF" w:rsidRPr="005935A4" w:rsidTr="008645DF">
        <w:trPr>
          <w:trHeight w:val="1200"/>
        </w:trPr>
        <w:tc>
          <w:tcPr>
            <w:tcW w:w="1086"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Tillmann et al.,                                               2010</w:t>
            </w:r>
          </w:p>
        </w:tc>
        <w:tc>
          <w:tcPr>
            <w:tcW w:w="867"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324"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UMTS 1966 MHz</w:t>
            </w:r>
          </w:p>
        </w:tc>
        <w:tc>
          <w:tcPr>
            <w:tcW w:w="1271"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 (ENU*)</w:t>
            </w:r>
          </w:p>
        </w:tc>
        <w:tc>
          <w:tcPr>
            <w:tcW w:w="1432" w:type="dxa"/>
            <w:tcBorders>
              <w:top w:val="nil"/>
              <w:left w:val="nil"/>
              <w:bottom w:val="single" w:sz="4" w:space="0" w:color="auto"/>
              <w:right w:val="single" w:sz="4" w:space="0" w:color="FF0000"/>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w:t>
            </w:r>
          </w:p>
        </w:tc>
        <w:tc>
          <w:tcPr>
            <w:tcW w:w="1266" w:type="dxa"/>
            <w:tcBorders>
              <w:top w:val="nil"/>
              <w:left w:val="nil"/>
              <w:bottom w:val="single" w:sz="4" w:space="0" w:color="FF0000"/>
              <w:right w:val="single" w:sz="4" w:space="0" w:color="FF0000"/>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20 h/jour                                                  7/7 jours</w:t>
            </w:r>
            <w:r w:rsidRPr="005935A4">
              <w:rPr>
                <w:rFonts w:ascii="Arial" w:eastAsia="Times New Roman" w:hAnsi="Arial" w:cs="Arial"/>
                <w:color w:val="000000"/>
                <w:sz w:val="20"/>
                <w:szCs w:val="20"/>
                <w:lang w:eastAsia="fr-FR"/>
              </w:rPr>
              <w:br/>
              <w:t>plus de 2 ans</w:t>
            </w:r>
          </w:p>
        </w:tc>
        <w:tc>
          <w:tcPr>
            <w:tcW w:w="1228" w:type="dxa"/>
            <w:tcBorders>
              <w:top w:val="nil"/>
              <w:left w:val="nil"/>
              <w:bottom w:val="single" w:sz="4" w:space="0" w:color="FF0000"/>
              <w:right w:val="single" w:sz="4" w:space="0" w:color="FF0000"/>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w:t>
            </w:r>
          </w:p>
        </w:tc>
        <w:tc>
          <w:tcPr>
            <w:tcW w:w="1813"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 RF seules : Non                                    . Avec ENU : Oui                          ("Signal UMTS potentiellement co-cancerogène")</w:t>
            </w:r>
          </w:p>
        </w:tc>
      </w:tr>
      <w:tr w:rsidR="008645DF" w:rsidRPr="005935A4" w:rsidTr="008645DF">
        <w:trPr>
          <w:trHeight w:val="1024"/>
        </w:trPr>
        <w:tc>
          <w:tcPr>
            <w:tcW w:w="1086"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Jin et al.,                                                      2011</w:t>
            </w:r>
          </w:p>
        </w:tc>
        <w:tc>
          <w:tcPr>
            <w:tcW w:w="867"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w:t>
            </w:r>
          </w:p>
        </w:tc>
        <w:tc>
          <w:tcPr>
            <w:tcW w:w="1324"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 xml:space="preserve">CDMA (849 MHz)                                                  </w:t>
            </w:r>
            <w:r w:rsidRPr="005935A4">
              <w:rPr>
                <w:rFonts w:ascii="Arial" w:eastAsia="Times New Roman" w:hAnsi="Arial" w:cs="Arial"/>
                <w:b/>
                <w:bCs/>
                <w:color w:val="000000"/>
                <w:sz w:val="20"/>
                <w:szCs w:val="20"/>
                <w:lang w:eastAsia="fr-FR"/>
              </w:rPr>
              <w:t>+</w:t>
            </w:r>
            <w:r w:rsidRPr="005935A4">
              <w:rPr>
                <w:rFonts w:ascii="Arial" w:eastAsia="Times New Roman" w:hAnsi="Arial" w:cs="Arial"/>
                <w:color w:val="000000"/>
                <w:sz w:val="20"/>
                <w:szCs w:val="20"/>
                <w:lang w:eastAsia="fr-FR"/>
              </w:rPr>
              <w:t xml:space="preserve"> W-CDMA                               (1 950 MHz) </w:t>
            </w:r>
          </w:p>
        </w:tc>
        <w:tc>
          <w:tcPr>
            <w:tcW w:w="1271"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432"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w:t>
            </w:r>
          </w:p>
        </w:tc>
        <w:tc>
          <w:tcPr>
            <w:tcW w:w="1266"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6818E2">
              <w:rPr>
                <w:rFonts w:ascii="Arial" w:eastAsia="Times New Roman" w:hAnsi="Arial" w:cs="Arial"/>
                <w:color w:val="FF0000"/>
                <w:sz w:val="20"/>
                <w:szCs w:val="20"/>
                <w:lang w:eastAsia="fr-FR"/>
              </w:rPr>
              <w:t>45 min/jour</w:t>
            </w:r>
            <w:r w:rsidRPr="005935A4">
              <w:rPr>
                <w:rFonts w:ascii="Arial" w:eastAsia="Times New Roman" w:hAnsi="Arial" w:cs="Arial"/>
                <w:color w:val="000000"/>
                <w:sz w:val="20"/>
                <w:szCs w:val="20"/>
                <w:lang w:eastAsia="fr-FR"/>
              </w:rPr>
              <w:t xml:space="preserve">                                               5/7 jours                                                  1 an</w:t>
            </w:r>
          </w:p>
        </w:tc>
        <w:tc>
          <w:tcPr>
            <w:tcW w:w="1228"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813"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r>
      <w:tr w:rsidR="008645DF" w:rsidRPr="005935A4" w:rsidTr="008645DF">
        <w:trPr>
          <w:trHeight w:val="900"/>
        </w:trPr>
        <w:tc>
          <w:tcPr>
            <w:tcW w:w="1086"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Lee et al.,                                        2011</w:t>
            </w:r>
          </w:p>
        </w:tc>
        <w:tc>
          <w:tcPr>
            <w:tcW w:w="867"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w:t>
            </w:r>
          </w:p>
        </w:tc>
        <w:tc>
          <w:tcPr>
            <w:tcW w:w="1324"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 xml:space="preserve">CDMA                                                                              </w:t>
            </w:r>
            <w:r w:rsidRPr="005935A4">
              <w:rPr>
                <w:rFonts w:ascii="Arial" w:eastAsia="Times New Roman" w:hAnsi="Arial" w:cs="Arial"/>
                <w:b/>
                <w:bCs/>
                <w:color w:val="000000"/>
                <w:sz w:val="20"/>
                <w:szCs w:val="20"/>
                <w:lang w:eastAsia="fr-FR"/>
              </w:rPr>
              <w:t>+</w:t>
            </w:r>
            <w:r w:rsidRPr="005935A4">
              <w:rPr>
                <w:rFonts w:ascii="Arial" w:eastAsia="Times New Roman" w:hAnsi="Arial" w:cs="Arial"/>
                <w:color w:val="000000"/>
                <w:sz w:val="20"/>
                <w:szCs w:val="20"/>
                <w:lang w:eastAsia="fr-FR"/>
              </w:rPr>
              <w:t xml:space="preserve"> W-CDMA</w:t>
            </w:r>
          </w:p>
        </w:tc>
        <w:tc>
          <w:tcPr>
            <w:tcW w:w="1271"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432"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w:t>
            </w:r>
          </w:p>
        </w:tc>
        <w:tc>
          <w:tcPr>
            <w:tcW w:w="1266"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27F28">
              <w:rPr>
                <w:rFonts w:ascii="Arial" w:eastAsia="Times New Roman" w:hAnsi="Arial" w:cs="Arial"/>
                <w:color w:val="FF0000"/>
                <w:sz w:val="20"/>
                <w:szCs w:val="20"/>
                <w:lang w:eastAsia="fr-FR"/>
              </w:rPr>
              <w:t>45 min/jour</w:t>
            </w:r>
            <w:r w:rsidRPr="005935A4">
              <w:rPr>
                <w:rFonts w:ascii="Arial" w:eastAsia="Times New Roman" w:hAnsi="Arial" w:cs="Arial"/>
                <w:color w:val="000000"/>
                <w:sz w:val="20"/>
                <w:szCs w:val="20"/>
                <w:lang w:eastAsia="fr-FR"/>
              </w:rPr>
              <w:t xml:space="preserve">                                               5/7 jours                                                  42 semaines</w:t>
            </w:r>
          </w:p>
        </w:tc>
        <w:tc>
          <w:tcPr>
            <w:tcW w:w="1228"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813"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r>
      <w:tr w:rsidR="008645DF" w:rsidRPr="005935A4" w:rsidTr="008645DF">
        <w:trPr>
          <w:trHeight w:val="1800"/>
        </w:trPr>
        <w:tc>
          <w:tcPr>
            <w:tcW w:w="1086"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Şekeroğlu et al.,                                        2012</w:t>
            </w:r>
          </w:p>
        </w:tc>
        <w:tc>
          <w:tcPr>
            <w:tcW w:w="867"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324"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 xml:space="preserve">GSM 1 800 MHz </w:t>
            </w:r>
          </w:p>
        </w:tc>
        <w:tc>
          <w:tcPr>
            <w:tcW w:w="1271"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432"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 (répétée, de 1 à 3 mois = subchronique)</w:t>
            </w:r>
          </w:p>
        </w:tc>
        <w:tc>
          <w:tcPr>
            <w:tcW w:w="1266"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2 h/jour                                                          45 jours</w:t>
            </w:r>
          </w:p>
        </w:tc>
        <w:tc>
          <w:tcPr>
            <w:tcW w:w="1228"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1813"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                                                                ("augmentation significative de la fréquence des aberrations chromosomiques et des micronoyaux")</w:t>
            </w:r>
          </w:p>
        </w:tc>
      </w:tr>
    </w:tbl>
    <w:p w:rsidR="008645DF" w:rsidRDefault="008645DF" w:rsidP="00FD065C">
      <w:pPr>
        <w:tabs>
          <w:tab w:val="left" w:pos="1122"/>
        </w:tabs>
        <w:spacing w:before="100" w:beforeAutospacing="1" w:after="100" w:afterAutospacing="1"/>
        <w:ind w:left="0" w:firstLine="0"/>
        <w:rPr>
          <w:rFonts w:ascii="Arial" w:hAnsi="Arial" w:cs="Arial"/>
          <w:sz w:val="20"/>
          <w:szCs w:val="20"/>
        </w:rPr>
      </w:pPr>
      <w:r w:rsidRPr="005935A4">
        <w:rPr>
          <w:rFonts w:ascii="Arial" w:hAnsi="Arial" w:cs="Arial"/>
          <w:sz w:val="20"/>
          <w:szCs w:val="20"/>
        </w:rPr>
        <w:t>*ENU : substance chimique initiatrice de tumeur</w:t>
      </w:r>
    </w:p>
    <w:p w:rsidR="008645DF" w:rsidRPr="005935A4" w:rsidRDefault="008645DF" w:rsidP="00FD065C">
      <w:pPr>
        <w:tabs>
          <w:tab w:val="left" w:pos="1122"/>
        </w:tabs>
        <w:spacing w:before="100" w:beforeAutospacing="1" w:after="100" w:afterAutospacing="1"/>
        <w:ind w:left="0" w:firstLine="0"/>
        <w:rPr>
          <w:rFonts w:ascii="Arial" w:hAnsi="Arial" w:cs="Arial"/>
          <w:sz w:val="20"/>
          <w:szCs w:val="20"/>
        </w:rPr>
      </w:pPr>
      <w:r w:rsidRPr="005935A4">
        <w:rPr>
          <w:rFonts w:ascii="Arial" w:hAnsi="Arial" w:cs="Arial"/>
          <w:sz w:val="20"/>
          <w:szCs w:val="20"/>
        </w:rPr>
        <w:t>Par ailleurs, il n’est pas spécifié si les animaux ont été exposés lors de leur phase d’éveil ou lors de leur sommeil. Or certaines études suggèrent que le cerveau pourrait être plus sensible aux influences des radiofréquences durant le sommeil que durant l’éveil. Par exemple, plusieurs recherches ayant utilisé l’électroencéphalogramme (EEG) ont mis en évidence des altérations mesurables dans l’activité cérébrale pendant le sommeil (modifications de</w:t>
      </w:r>
      <w:r>
        <w:rPr>
          <w:rFonts w:ascii="Arial" w:hAnsi="Arial" w:cs="Arial"/>
          <w:sz w:val="20"/>
          <w:szCs w:val="20"/>
        </w:rPr>
        <w:t xml:space="preserve"> l’amplitude des ondes alpha, </w:t>
      </w:r>
      <w:r w:rsidRPr="005935A4">
        <w:rPr>
          <w:rFonts w:ascii="Arial" w:hAnsi="Arial" w:cs="Arial"/>
          <w:sz w:val="20"/>
          <w:szCs w:val="20"/>
        </w:rPr>
        <w:t xml:space="preserve">indicateur de l’activité cérébrale) qui semblent être particulièrement reproductibles lors du sommeil comparativement à l’éveil. </w:t>
      </w:r>
    </w:p>
    <w:p w:rsidR="008645DF" w:rsidRPr="005935A4" w:rsidRDefault="008645DF" w:rsidP="00FD065C">
      <w:pPr>
        <w:tabs>
          <w:tab w:val="left" w:pos="1122"/>
        </w:tabs>
        <w:spacing w:before="100" w:beforeAutospacing="1" w:after="100" w:afterAutospacing="1"/>
        <w:ind w:left="0" w:firstLine="0"/>
        <w:rPr>
          <w:rFonts w:ascii="Arial" w:hAnsi="Arial" w:cs="Arial"/>
          <w:sz w:val="20"/>
          <w:szCs w:val="20"/>
        </w:rPr>
      </w:pPr>
      <w:r w:rsidRPr="005935A4">
        <w:rPr>
          <w:rFonts w:ascii="Arial" w:hAnsi="Arial" w:cs="Arial"/>
          <w:sz w:val="20"/>
          <w:szCs w:val="20"/>
        </w:rPr>
        <w:lastRenderedPageBreak/>
        <w:t>La durée et la récurrence de l’exposition, ou encore la variation des fréquences utilis</w:t>
      </w:r>
      <w:r>
        <w:rPr>
          <w:rFonts w:ascii="Arial" w:hAnsi="Arial" w:cs="Arial"/>
          <w:sz w:val="20"/>
          <w:szCs w:val="20"/>
        </w:rPr>
        <w:t>ées pourraient ainsi impacter les observations selon l’état d’éveil ou de sommeil.</w:t>
      </w:r>
    </w:p>
    <w:p w:rsidR="008645DF" w:rsidRPr="005935A4" w:rsidRDefault="008645DF" w:rsidP="00FD065C">
      <w:pPr>
        <w:tabs>
          <w:tab w:val="left" w:pos="1122"/>
        </w:tabs>
        <w:spacing w:before="100" w:beforeAutospacing="1" w:after="100" w:afterAutospacing="1"/>
        <w:ind w:left="0" w:firstLine="0"/>
        <w:rPr>
          <w:rFonts w:ascii="Arial" w:hAnsi="Arial" w:cs="Arial"/>
          <w:sz w:val="20"/>
          <w:szCs w:val="20"/>
        </w:rPr>
      </w:pPr>
      <w:r w:rsidRPr="005935A4">
        <w:rPr>
          <w:rFonts w:ascii="Arial" w:hAnsi="Arial" w:cs="Arial"/>
          <w:sz w:val="20"/>
          <w:szCs w:val="20"/>
        </w:rPr>
        <w:t xml:space="preserve">Enfin, le tableau 29 (p.243) indique pour l’étude </w:t>
      </w:r>
      <w:r w:rsidRPr="005935A4">
        <w:rPr>
          <w:rFonts w:ascii="Arial" w:eastAsia="Times New Roman" w:hAnsi="Arial" w:cs="Arial"/>
          <w:color w:val="000000"/>
          <w:sz w:val="20"/>
          <w:szCs w:val="20"/>
          <w:lang w:eastAsia="fr-FR"/>
        </w:rPr>
        <w:t>Şekeroğlu et al., 2012 les effets observés suivants : « </w:t>
      </w:r>
      <w:r w:rsidRPr="005935A4">
        <w:rPr>
          <w:rFonts w:ascii="Arial" w:hAnsi="Arial" w:cs="Arial"/>
          <w:sz w:val="20"/>
          <w:szCs w:val="20"/>
        </w:rPr>
        <w:t xml:space="preserve">Augmentation de la fréquence des aberrations chromosomique et des micronoyaux chez les animaux exposés, matures et immatures. Normalisation de ces paramètres après le temps de récupération de 15 jours pour les rats matures, </w:t>
      </w:r>
      <w:r w:rsidRPr="005935A4">
        <w:rPr>
          <w:rFonts w:ascii="Arial" w:hAnsi="Arial" w:cs="Arial"/>
          <w:sz w:val="20"/>
          <w:szCs w:val="20"/>
          <w:u w:val="single"/>
        </w:rPr>
        <w:t>mais pas pour les rats immatures</w:t>
      </w:r>
      <w:r w:rsidRPr="005935A4">
        <w:rPr>
          <w:rFonts w:ascii="Arial" w:hAnsi="Arial" w:cs="Arial"/>
          <w:sz w:val="20"/>
          <w:szCs w:val="20"/>
        </w:rPr>
        <w:t xml:space="preserve">. Diminution significative de l’index mitotique et du ratio d’érythrocytes polychromatiques dans les groupes exposés et </w:t>
      </w:r>
      <w:r w:rsidRPr="005935A4">
        <w:rPr>
          <w:rFonts w:ascii="Arial" w:hAnsi="Arial" w:cs="Arial"/>
          <w:sz w:val="20"/>
          <w:szCs w:val="20"/>
          <w:u w:val="single"/>
        </w:rPr>
        <w:t>absence de normalisation après la période de récupération de 15 jours chez les rats immatures</w:t>
      </w:r>
      <w:r w:rsidRPr="005935A4">
        <w:rPr>
          <w:rFonts w:ascii="Arial" w:hAnsi="Arial" w:cs="Arial"/>
          <w:sz w:val="20"/>
          <w:szCs w:val="20"/>
        </w:rPr>
        <w:t> ». [ndlr : c’est moi qui souligne]. Or la différence de retour à la normale après une période de récupération, selon que les rats sont matures ou immatures, est un indice de l’importance du terrain (vulnérabilité) sur lequel se produit l’événement : ce n’est pas explicitement présenté dans le commentaire de l’étude (p.240)</w:t>
      </w:r>
      <w:r w:rsidRPr="005935A4">
        <w:rPr>
          <w:rStyle w:val="Appelnotedebasdep"/>
          <w:rFonts w:ascii="Arial" w:hAnsi="Arial" w:cs="Arial"/>
        </w:rPr>
        <w:footnoteReference w:id="114"/>
      </w:r>
      <w:r w:rsidRPr="005935A4">
        <w:rPr>
          <w:rFonts w:ascii="Arial" w:hAnsi="Arial" w:cs="Arial"/>
          <w:sz w:val="20"/>
          <w:szCs w:val="20"/>
        </w:rPr>
        <w:t>.</w:t>
      </w:r>
    </w:p>
    <w:p w:rsidR="008645DF" w:rsidRPr="005935A4" w:rsidRDefault="008645DF" w:rsidP="00FD065C">
      <w:pPr>
        <w:tabs>
          <w:tab w:val="left" w:pos="1122"/>
        </w:tabs>
        <w:spacing w:before="100" w:beforeAutospacing="1" w:after="100" w:afterAutospacing="1"/>
        <w:ind w:left="0" w:firstLine="0"/>
        <w:rPr>
          <w:rFonts w:ascii="Arial" w:hAnsi="Arial" w:cs="Arial"/>
          <w:sz w:val="20"/>
          <w:szCs w:val="20"/>
        </w:rPr>
      </w:pPr>
      <w:r w:rsidRPr="005935A4">
        <w:rPr>
          <w:rFonts w:ascii="Arial" w:hAnsi="Arial" w:cs="Arial"/>
          <w:sz w:val="20"/>
          <w:szCs w:val="20"/>
        </w:rPr>
        <w:t>Quelle peut être la portée d’études exposant des rongeurs en bonne santé de 45 minutes à 2 heure</w:t>
      </w:r>
      <w:r>
        <w:rPr>
          <w:rFonts w:ascii="Arial" w:hAnsi="Arial" w:cs="Arial"/>
          <w:sz w:val="20"/>
          <w:szCs w:val="20"/>
        </w:rPr>
        <w:t>s par jour (</w:t>
      </w:r>
      <w:r w:rsidRPr="005935A4">
        <w:rPr>
          <w:rFonts w:ascii="Arial" w:hAnsi="Arial" w:cs="Arial"/>
          <w:sz w:val="20"/>
          <w:szCs w:val="20"/>
        </w:rPr>
        <w:t xml:space="preserve">exposition </w:t>
      </w:r>
      <w:r>
        <w:rPr>
          <w:rFonts w:ascii="Arial" w:hAnsi="Arial" w:cs="Arial"/>
          <w:sz w:val="20"/>
          <w:szCs w:val="20"/>
        </w:rPr>
        <w:t xml:space="preserve">que l’on dit cependant </w:t>
      </w:r>
      <w:r w:rsidRPr="005935A4">
        <w:rPr>
          <w:rFonts w:ascii="Arial" w:hAnsi="Arial" w:cs="Arial"/>
          <w:sz w:val="20"/>
          <w:szCs w:val="20"/>
        </w:rPr>
        <w:t>« chronique ») tandis que l’exposition chronique réelle des humains est caractérisée par une exposition in utero, dès la conception, continue, sans période de récupération possible, à un cocktail de fréquences, émises par de multiples sources, dans un environnement par ailleurs possiblement pollué tant au niveau de la qualité de l’air, des sols, de l’eau, etc et que ces humains sont de surcroît déjà fragilisés de par leur âge (enfants, personnes âgées) et/ou une immunodéficience et/ou une carence et/ou une maladie ?</w:t>
      </w:r>
    </w:p>
    <w:p w:rsidR="008645DF" w:rsidRPr="005935A4" w:rsidRDefault="008645DF" w:rsidP="00FD065C">
      <w:pPr>
        <w:tabs>
          <w:tab w:val="left" w:pos="1122"/>
        </w:tabs>
        <w:spacing w:before="100" w:beforeAutospacing="1" w:after="100" w:afterAutospacing="1"/>
        <w:ind w:left="0" w:firstLine="0"/>
        <w:rPr>
          <w:rFonts w:ascii="Arial" w:hAnsi="Arial" w:cs="Arial"/>
          <w:sz w:val="20"/>
          <w:szCs w:val="20"/>
        </w:rPr>
      </w:pPr>
      <w:r>
        <w:rPr>
          <w:rFonts w:ascii="Arial" w:hAnsi="Arial" w:cs="Arial"/>
          <w:sz w:val="20"/>
          <w:szCs w:val="20"/>
        </w:rPr>
        <w:t>8. Quelle interprétation peut-on faire de situations hétérogènes sans qu’aient été caractérisées les expositions (fréquence, modulation, etc voir paramètres de l’annexe 22) ?</w:t>
      </w:r>
    </w:p>
    <w:p w:rsidR="008645DF" w:rsidRDefault="008645DF" w:rsidP="00FD065C">
      <w:pPr>
        <w:tabs>
          <w:tab w:val="left" w:pos="1122"/>
        </w:tabs>
        <w:spacing w:before="100" w:beforeAutospacing="1" w:after="100" w:afterAutospacing="1"/>
        <w:ind w:left="0" w:firstLine="0"/>
        <w:rPr>
          <w:rFonts w:ascii="Arial" w:hAnsi="Arial" w:cs="Arial"/>
          <w:sz w:val="20"/>
          <w:szCs w:val="20"/>
        </w:rPr>
      </w:pPr>
      <w:r>
        <w:rPr>
          <w:rFonts w:ascii="Arial" w:hAnsi="Arial" w:cs="Arial"/>
          <w:sz w:val="20"/>
          <w:szCs w:val="20"/>
        </w:rPr>
        <w:t xml:space="preserve">Analyse à partir de la </w:t>
      </w:r>
      <w:r w:rsidRPr="005935A4">
        <w:rPr>
          <w:rFonts w:ascii="Arial" w:hAnsi="Arial" w:cs="Arial"/>
          <w:sz w:val="20"/>
          <w:szCs w:val="20"/>
        </w:rPr>
        <w:t xml:space="preserve">synthèse des </w:t>
      </w:r>
      <w:r>
        <w:rPr>
          <w:rFonts w:ascii="Arial" w:hAnsi="Arial" w:cs="Arial"/>
          <w:sz w:val="20"/>
          <w:szCs w:val="20"/>
        </w:rPr>
        <w:t xml:space="preserve">5 </w:t>
      </w:r>
      <w:r w:rsidRPr="005935A4">
        <w:rPr>
          <w:rFonts w:ascii="Arial" w:hAnsi="Arial" w:cs="Arial"/>
          <w:sz w:val="20"/>
          <w:szCs w:val="20"/>
        </w:rPr>
        <w:t>études sur des enfants concernant le cancer </w:t>
      </w:r>
      <w:r>
        <w:rPr>
          <w:rFonts w:ascii="Arial" w:hAnsi="Arial" w:cs="Arial"/>
          <w:sz w:val="20"/>
          <w:szCs w:val="20"/>
        </w:rPr>
        <w:t>(</w:t>
      </w:r>
      <w:r w:rsidRPr="005935A4">
        <w:rPr>
          <w:rFonts w:ascii="Arial" w:hAnsi="Arial" w:cs="Arial"/>
          <w:sz w:val="20"/>
          <w:szCs w:val="20"/>
        </w:rPr>
        <w:t>dont 4 cas-témoins)</w:t>
      </w:r>
      <w:r>
        <w:rPr>
          <w:rFonts w:ascii="Arial" w:hAnsi="Arial" w:cs="Arial"/>
          <w:sz w:val="20"/>
          <w:szCs w:val="20"/>
        </w:rPr>
        <w:t xml:space="preserve"> </w:t>
      </w:r>
      <w:r w:rsidRPr="005935A4">
        <w:rPr>
          <w:rFonts w:ascii="Arial" w:hAnsi="Arial" w:cs="Arial"/>
          <w:sz w:val="20"/>
          <w:szCs w:val="20"/>
        </w:rPr>
        <w:t>:</w:t>
      </w:r>
    </w:p>
    <w:p w:rsidR="008645DF" w:rsidRPr="005935A4" w:rsidRDefault="008645DF" w:rsidP="00FD065C">
      <w:pPr>
        <w:tabs>
          <w:tab w:val="left" w:pos="1122"/>
        </w:tabs>
        <w:spacing w:before="100" w:beforeAutospacing="1" w:after="100" w:afterAutospacing="1"/>
        <w:ind w:left="0" w:firstLine="0"/>
        <w:rPr>
          <w:rFonts w:ascii="Arial" w:hAnsi="Arial" w:cs="Arial"/>
          <w:sz w:val="20"/>
          <w:szCs w:val="20"/>
        </w:rPr>
      </w:pPr>
    </w:p>
    <w:tbl>
      <w:tblPr>
        <w:tblW w:w="9937" w:type="dxa"/>
        <w:tblInd w:w="56" w:type="dxa"/>
        <w:tblCellMar>
          <w:left w:w="70" w:type="dxa"/>
          <w:right w:w="70" w:type="dxa"/>
        </w:tblCellMar>
        <w:tblLook w:val="04A0"/>
      </w:tblPr>
      <w:tblGrid>
        <w:gridCol w:w="3558"/>
        <w:gridCol w:w="2693"/>
        <w:gridCol w:w="1134"/>
        <w:gridCol w:w="2552"/>
      </w:tblGrid>
      <w:tr w:rsidR="008645DF" w:rsidRPr="005935A4" w:rsidTr="008645DF">
        <w:trPr>
          <w:trHeight w:val="615"/>
        </w:trPr>
        <w:tc>
          <w:tcPr>
            <w:tcW w:w="3558"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rsidR="008645DF" w:rsidRPr="005935A4" w:rsidRDefault="008645DF" w:rsidP="00FD065C">
            <w:pPr>
              <w:ind w:left="0" w:firstLine="0"/>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Référence</w:t>
            </w:r>
          </w:p>
        </w:tc>
        <w:tc>
          <w:tcPr>
            <w:tcW w:w="2693" w:type="dxa"/>
            <w:tcBorders>
              <w:top w:val="single" w:sz="4" w:space="0" w:color="auto"/>
              <w:left w:val="nil"/>
              <w:bottom w:val="single" w:sz="4" w:space="0" w:color="auto"/>
              <w:right w:val="single" w:sz="4" w:space="0" w:color="auto"/>
            </w:tcBorders>
            <w:shd w:val="clear" w:color="000000" w:fill="B8CCE4"/>
            <w:vAlign w:val="center"/>
            <w:hideMark/>
          </w:tcPr>
          <w:p w:rsidR="008645DF" w:rsidRPr="005935A4" w:rsidRDefault="008645DF" w:rsidP="00FD065C">
            <w:pPr>
              <w:ind w:left="0" w:firstLine="0"/>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Fréquences d'exposition</w:t>
            </w:r>
          </w:p>
        </w:tc>
        <w:tc>
          <w:tcPr>
            <w:tcW w:w="1134" w:type="dxa"/>
            <w:tcBorders>
              <w:top w:val="single" w:sz="4" w:space="0" w:color="auto"/>
              <w:left w:val="nil"/>
              <w:bottom w:val="single" w:sz="4" w:space="0" w:color="auto"/>
              <w:right w:val="single" w:sz="4" w:space="0" w:color="auto"/>
            </w:tcBorders>
            <w:shd w:val="clear" w:color="000000" w:fill="B8CCE4"/>
            <w:vAlign w:val="center"/>
            <w:hideMark/>
          </w:tcPr>
          <w:p w:rsidR="008645DF" w:rsidRPr="005935A4" w:rsidRDefault="008645DF" w:rsidP="008645DF">
            <w:pPr>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Pulsées ?</w:t>
            </w:r>
          </w:p>
        </w:tc>
        <w:tc>
          <w:tcPr>
            <w:tcW w:w="2552" w:type="dxa"/>
            <w:tcBorders>
              <w:top w:val="single" w:sz="4" w:space="0" w:color="auto"/>
              <w:left w:val="nil"/>
              <w:bottom w:val="single" w:sz="4" w:space="0" w:color="auto"/>
              <w:right w:val="single" w:sz="4" w:space="0" w:color="auto"/>
            </w:tcBorders>
            <w:shd w:val="clear" w:color="000000" w:fill="B8CCE4"/>
            <w:vAlign w:val="center"/>
            <w:hideMark/>
          </w:tcPr>
          <w:p w:rsidR="008645DF" w:rsidRPr="005935A4" w:rsidRDefault="008645DF" w:rsidP="00FD065C">
            <w:pPr>
              <w:ind w:left="0" w:firstLine="0"/>
              <w:jc w:val="center"/>
              <w:rPr>
                <w:rFonts w:ascii="Arial" w:eastAsia="Times New Roman" w:hAnsi="Arial" w:cs="Arial"/>
                <w:b/>
                <w:bCs/>
                <w:color w:val="000000"/>
                <w:sz w:val="20"/>
                <w:szCs w:val="20"/>
                <w:lang w:eastAsia="fr-FR"/>
              </w:rPr>
            </w:pPr>
            <w:r w:rsidRPr="005935A4">
              <w:rPr>
                <w:rFonts w:ascii="Arial" w:eastAsia="Times New Roman" w:hAnsi="Arial" w:cs="Arial"/>
                <w:b/>
                <w:bCs/>
                <w:color w:val="000000"/>
                <w:sz w:val="20"/>
                <w:szCs w:val="20"/>
                <w:lang w:eastAsia="fr-FR"/>
              </w:rPr>
              <w:t>Période de diagnostic du cancer</w:t>
            </w:r>
          </w:p>
        </w:tc>
      </w:tr>
      <w:tr w:rsidR="008645DF" w:rsidRPr="005935A4" w:rsidTr="008645DF">
        <w:trPr>
          <w:trHeight w:val="600"/>
        </w:trPr>
        <w:tc>
          <w:tcPr>
            <w:tcW w:w="3558"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 xml:space="preserve">Ha et al., 2007 </w:t>
            </w:r>
          </w:p>
        </w:tc>
        <w:tc>
          <w:tcPr>
            <w:tcW w:w="2693"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ondes radio AM</w:t>
            </w:r>
          </w:p>
        </w:tc>
        <w:tc>
          <w:tcPr>
            <w:tcW w:w="1134"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8645DF">
            <w:pPr>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2552"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1993 - 1999</w:t>
            </w:r>
          </w:p>
        </w:tc>
      </w:tr>
      <w:tr w:rsidR="008645DF" w:rsidRPr="005935A4" w:rsidTr="008645DF">
        <w:trPr>
          <w:trHeight w:val="600"/>
        </w:trPr>
        <w:tc>
          <w:tcPr>
            <w:tcW w:w="3558"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 xml:space="preserve">Merzenich et al., 2008 </w:t>
            </w:r>
          </w:p>
        </w:tc>
        <w:tc>
          <w:tcPr>
            <w:tcW w:w="2693"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ondes radio AM et FM</w:t>
            </w:r>
          </w:p>
        </w:tc>
        <w:tc>
          <w:tcPr>
            <w:tcW w:w="1134"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8645DF">
            <w:pPr>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2552"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1984 - 2002</w:t>
            </w:r>
          </w:p>
        </w:tc>
      </w:tr>
      <w:tr w:rsidR="008645DF" w:rsidRPr="005935A4" w:rsidTr="008645DF">
        <w:trPr>
          <w:trHeight w:val="540"/>
        </w:trPr>
        <w:tc>
          <w:tcPr>
            <w:tcW w:w="3558"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 xml:space="preserve">Elliott et al., 2010 </w:t>
            </w:r>
          </w:p>
        </w:tc>
        <w:tc>
          <w:tcPr>
            <w:tcW w:w="2693"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Antennes-relais (GSM*)</w:t>
            </w:r>
          </w:p>
        </w:tc>
        <w:tc>
          <w:tcPr>
            <w:tcW w:w="1134"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8645DF">
            <w:pPr>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w:t>
            </w:r>
          </w:p>
        </w:tc>
        <w:tc>
          <w:tcPr>
            <w:tcW w:w="2552"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1999 - 2001</w:t>
            </w:r>
          </w:p>
        </w:tc>
      </w:tr>
      <w:tr w:rsidR="008645DF" w:rsidRPr="005935A4" w:rsidTr="008645DF">
        <w:trPr>
          <w:trHeight w:val="1200"/>
        </w:trPr>
        <w:tc>
          <w:tcPr>
            <w:tcW w:w="3558"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Aydin et al., 2011</w:t>
            </w:r>
          </w:p>
        </w:tc>
        <w:tc>
          <w:tcPr>
            <w:tcW w:w="2693"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Utilisation du téléphone portable**</w:t>
            </w:r>
          </w:p>
        </w:tc>
        <w:tc>
          <w:tcPr>
            <w:tcW w:w="1134" w:type="dxa"/>
            <w:tcBorders>
              <w:top w:val="nil"/>
              <w:left w:val="nil"/>
              <w:bottom w:val="single" w:sz="4" w:space="0" w:color="auto"/>
              <w:right w:val="single" w:sz="4" w:space="0" w:color="FF0000"/>
            </w:tcBorders>
            <w:shd w:val="clear" w:color="auto" w:fill="auto"/>
            <w:noWrap/>
            <w:vAlign w:val="center"/>
            <w:hideMark/>
          </w:tcPr>
          <w:p w:rsidR="008645DF" w:rsidRPr="005935A4" w:rsidRDefault="008645DF" w:rsidP="008645DF">
            <w:pPr>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Oui</w:t>
            </w:r>
          </w:p>
        </w:tc>
        <w:tc>
          <w:tcPr>
            <w:tcW w:w="2552"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janvier 2004 - août 2008</w:t>
            </w:r>
          </w:p>
        </w:tc>
      </w:tr>
      <w:tr w:rsidR="008645DF" w:rsidRPr="005935A4" w:rsidTr="008645DF">
        <w:trPr>
          <w:trHeight w:val="570"/>
        </w:trPr>
        <w:tc>
          <w:tcPr>
            <w:tcW w:w="3558" w:type="dxa"/>
            <w:tcBorders>
              <w:top w:val="nil"/>
              <w:left w:val="single" w:sz="4" w:space="0" w:color="auto"/>
              <w:bottom w:val="single" w:sz="4" w:space="0" w:color="auto"/>
              <w:right w:val="single" w:sz="4" w:space="0" w:color="auto"/>
            </w:tcBorders>
            <w:shd w:val="clear" w:color="auto" w:fill="auto"/>
            <w:vAlign w:val="center"/>
            <w:hideMark/>
          </w:tcPr>
          <w:p w:rsidR="008645DF" w:rsidRPr="005935A4" w:rsidRDefault="008645DF" w:rsidP="00FD065C">
            <w:pPr>
              <w:ind w:left="0" w:firstLine="0"/>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Hauri et al., 2014</w:t>
            </w:r>
          </w:p>
        </w:tc>
        <w:tc>
          <w:tcPr>
            <w:tcW w:w="2693"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 xml:space="preserve">Tour de télévision : AM et FM/TV </w:t>
            </w:r>
          </w:p>
        </w:tc>
        <w:tc>
          <w:tcPr>
            <w:tcW w:w="1134" w:type="dxa"/>
            <w:tcBorders>
              <w:top w:val="nil"/>
              <w:left w:val="nil"/>
              <w:bottom w:val="single" w:sz="4" w:space="0" w:color="auto"/>
              <w:right w:val="single" w:sz="4" w:space="0" w:color="auto"/>
            </w:tcBorders>
            <w:shd w:val="clear" w:color="auto" w:fill="auto"/>
            <w:noWrap/>
            <w:vAlign w:val="center"/>
            <w:hideMark/>
          </w:tcPr>
          <w:p w:rsidR="008645DF" w:rsidRPr="005935A4" w:rsidRDefault="008645DF" w:rsidP="008645DF">
            <w:pPr>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Non***</w:t>
            </w:r>
          </w:p>
        </w:tc>
        <w:tc>
          <w:tcPr>
            <w:tcW w:w="2552" w:type="dxa"/>
            <w:tcBorders>
              <w:top w:val="nil"/>
              <w:left w:val="nil"/>
              <w:bottom w:val="single" w:sz="4" w:space="0" w:color="auto"/>
              <w:right w:val="single" w:sz="4" w:space="0" w:color="auto"/>
            </w:tcBorders>
            <w:shd w:val="clear" w:color="auto" w:fill="auto"/>
            <w:vAlign w:val="center"/>
            <w:hideMark/>
          </w:tcPr>
          <w:p w:rsidR="008645DF" w:rsidRPr="005935A4" w:rsidRDefault="008645DF" w:rsidP="00FD065C">
            <w:pPr>
              <w:ind w:left="0" w:firstLine="0"/>
              <w:jc w:val="center"/>
              <w:rPr>
                <w:rFonts w:ascii="Arial" w:eastAsia="Times New Roman" w:hAnsi="Arial" w:cs="Arial"/>
                <w:color w:val="000000"/>
                <w:sz w:val="20"/>
                <w:szCs w:val="20"/>
                <w:lang w:eastAsia="fr-FR"/>
              </w:rPr>
            </w:pPr>
            <w:r w:rsidRPr="005935A4">
              <w:rPr>
                <w:rFonts w:ascii="Arial" w:eastAsia="Times New Roman" w:hAnsi="Arial" w:cs="Arial"/>
                <w:color w:val="000000"/>
                <w:sz w:val="20"/>
                <w:szCs w:val="20"/>
                <w:lang w:eastAsia="fr-FR"/>
              </w:rPr>
              <w:t xml:space="preserve">Etude de cohorte                                        Enfants malades </w:t>
            </w:r>
            <w:r>
              <w:rPr>
                <w:rFonts w:ascii="Arial" w:eastAsia="Times New Roman" w:hAnsi="Arial" w:cs="Arial"/>
                <w:color w:val="000000"/>
                <w:sz w:val="20"/>
                <w:szCs w:val="20"/>
                <w:lang w:eastAsia="fr-FR"/>
              </w:rPr>
              <w:t xml:space="preserve">                         </w:t>
            </w:r>
            <w:r w:rsidRPr="005935A4">
              <w:rPr>
                <w:rFonts w:ascii="Arial" w:eastAsia="Times New Roman" w:hAnsi="Arial" w:cs="Arial"/>
                <w:color w:val="000000"/>
                <w:sz w:val="20"/>
                <w:szCs w:val="20"/>
                <w:lang w:eastAsia="fr-FR"/>
              </w:rPr>
              <w:t>de 0 à 16 ans</w:t>
            </w:r>
          </w:p>
        </w:tc>
      </w:tr>
    </w:tbl>
    <w:p w:rsidR="008645DF" w:rsidRPr="005935A4" w:rsidRDefault="008645DF" w:rsidP="00FD065C">
      <w:pPr>
        <w:tabs>
          <w:tab w:val="left" w:pos="0"/>
        </w:tabs>
        <w:spacing w:before="100" w:beforeAutospacing="1" w:after="100" w:afterAutospacing="1"/>
        <w:ind w:left="0" w:firstLine="0"/>
        <w:rPr>
          <w:rFonts w:ascii="Arial" w:hAnsi="Arial" w:cs="Arial"/>
          <w:sz w:val="20"/>
          <w:szCs w:val="20"/>
        </w:rPr>
      </w:pPr>
      <w:r w:rsidRPr="005935A4">
        <w:rPr>
          <w:rFonts w:ascii="Arial" w:hAnsi="Arial" w:cs="Arial"/>
          <w:sz w:val="20"/>
          <w:szCs w:val="20"/>
        </w:rPr>
        <w:t>*Entre 1999 et 2001, la téléphonie mobile en Grande-Bretagne reposait principalement sur le réseau GSM. Les premiers réseaux commerciaux GSM ont été lancés en 1991 (passage d’un système analogique à un système digital). (données copilot)</w:t>
      </w:r>
    </w:p>
    <w:p w:rsidR="008645DF" w:rsidRPr="005935A4" w:rsidRDefault="008645DF" w:rsidP="00FD065C">
      <w:pPr>
        <w:tabs>
          <w:tab w:val="left" w:pos="1122"/>
        </w:tabs>
        <w:spacing w:before="100" w:beforeAutospacing="1" w:after="100" w:afterAutospacing="1"/>
        <w:ind w:left="0" w:firstLine="0"/>
        <w:rPr>
          <w:rFonts w:ascii="Arial" w:hAnsi="Arial" w:cs="Arial"/>
          <w:sz w:val="20"/>
          <w:szCs w:val="20"/>
        </w:rPr>
      </w:pPr>
      <w:r w:rsidRPr="005935A4">
        <w:rPr>
          <w:rFonts w:ascii="Arial" w:hAnsi="Arial" w:cs="Arial"/>
          <w:sz w:val="20"/>
          <w:szCs w:val="20"/>
        </w:rPr>
        <w:lastRenderedPageBreak/>
        <w:t xml:space="preserve">** </w:t>
      </w:r>
      <w:r w:rsidRPr="005935A4">
        <w:rPr>
          <w:rStyle w:val="lev"/>
          <w:rFonts w:ascii="Arial" w:hAnsi="Arial" w:cs="Arial"/>
          <w:sz w:val="20"/>
          <w:szCs w:val="20"/>
        </w:rPr>
        <w:t>Entre 1990 et 2003</w:t>
      </w:r>
      <w:r w:rsidRPr="005935A4">
        <w:rPr>
          <w:rFonts w:ascii="Arial" w:hAnsi="Arial" w:cs="Arial"/>
          <w:b/>
          <w:sz w:val="20"/>
          <w:szCs w:val="20"/>
        </w:rPr>
        <w:t xml:space="preserve">, </w:t>
      </w:r>
      <w:r w:rsidRPr="005935A4">
        <w:rPr>
          <w:rFonts w:ascii="Arial" w:hAnsi="Arial" w:cs="Arial"/>
          <w:sz w:val="20"/>
          <w:szCs w:val="20"/>
        </w:rPr>
        <w:t>la téléphonie mobile en Suisse reposait principalement sur la deuxième génération (2G) avec la technologie GSM. Le réseau était quasiment exclusivement implanté dans la bande des 900 MHz. Puis la période 2004-2008 a vu une diversification avec l’introduction du GSM 1800 MHz et l’émergence de la 3G en 2100 MHz. L’étude CEFALO a porté sur la Suisse, le Dan</w:t>
      </w:r>
      <w:r>
        <w:rPr>
          <w:rFonts w:ascii="Arial" w:hAnsi="Arial" w:cs="Arial"/>
          <w:sz w:val="20"/>
          <w:szCs w:val="20"/>
        </w:rPr>
        <w:t>e</w:t>
      </w:r>
      <w:r w:rsidRPr="005935A4">
        <w:rPr>
          <w:rFonts w:ascii="Arial" w:hAnsi="Arial" w:cs="Arial"/>
          <w:sz w:val="20"/>
          <w:szCs w:val="20"/>
        </w:rPr>
        <w:t>mark, la Suède et la Norvège. Au début des années 1990, les réseaux GSM ont commencé à remplacer les systèmes analogiques dans toute l’Europe, y compris au Danemark, en Suède et en Norvège. Bien que les déploiements aient suivi des calendriers nationaux propres – avec des lancements commerciaux effectifs souvent entre 1991 et 1994 – l’évolution vers le GSM s’est faite de manière quasiment coordonnée dans la région grâce à un environnement réglementaire et à des investissements similaires. Ainsi, même si les mises en service exactes ne sont pas identiques dans chaque pays, le passage de l’analogique (1G – notamment via NMT) au numérique (2G – GSM) s’est opéré dans un intervalle de quelques années seulement parmi ces nations. Entre 2004 et 2008, les différents opérateurs nordiques ont déployé progressivement leur réseau 3G. (données copilot)</w:t>
      </w:r>
    </w:p>
    <w:p w:rsidR="008645DF" w:rsidRPr="005935A4" w:rsidRDefault="008645DF" w:rsidP="00FD065C">
      <w:pPr>
        <w:tabs>
          <w:tab w:val="left" w:pos="1122"/>
        </w:tabs>
        <w:spacing w:before="100" w:beforeAutospacing="1" w:after="100" w:afterAutospacing="1"/>
        <w:ind w:left="0" w:firstLine="0"/>
        <w:rPr>
          <w:rFonts w:ascii="Arial" w:hAnsi="Arial" w:cs="Arial"/>
          <w:sz w:val="20"/>
          <w:szCs w:val="20"/>
        </w:rPr>
      </w:pPr>
      <w:r w:rsidRPr="005935A4">
        <w:rPr>
          <w:rFonts w:ascii="Arial" w:hAnsi="Arial" w:cs="Arial"/>
          <w:sz w:val="20"/>
          <w:szCs w:val="20"/>
        </w:rPr>
        <w:t>***Il n’est pas indiqué si des antennes-relais de téléphonie mobile étaient présentes sur les tours de télévision.</w:t>
      </w:r>
    </w:p>
    <w:p w:rsidR="008645DF" w:rsidRPr="00FC6659" w:rsidRDefault="008645DF" w:rsidP="00FD065C">
      <w:pPr>
        <w:ind w:left="0" w:firstLine="0"/>
        <w:rPr>
          <w:rFonts w:ascii="Arial" w:hAnsi="Arial" w:cs="Arial"/>
          <w:sz w:val="20"/>
          <w:szCs w:val="20"/>
        </w:rPr>
      </w:pPr>
      <w:r>
        <w:rPr>
          <w:rFonts w:ascii="Arial" w:hAnsi="Arial" w:cs="Arial"/>
          <w:sz w:val="20"/>
          <w:szCs w:val="20"/>
        </w:rPr>
        <w:t>9.</w:t>
      </w:r>
      <w:r w:rsidRPr="00FC6659">
        <w:rPr>
          <w:rFonts w:ascii="Arial" w:hAnsi="Arial" w:cs="Arial"/>
          <w:sz w:val="20"/>
          <w:szCs w:val="20"/>
        </w:rPr>
        <w:t xml:space="preserve"> Les études suivantes, qui n’apparaissent pas dans le pré-rapport, seront-elles intégrées dans la version définitive ?</w:t>
      </w:r>
    </w:p>
    <w:p w:rsidR="008645DF" w:rsidRPr="00FC6659" w:rsidRDefault="008645DF" w:rsidP="00FD065C">
      <w:pPr>
        <w:ind w:left="0" w:firstLine="0"/>
        <w:rPr>
          <w:rFonts w:ascii="Arial" w:hAnsi="Arial" w:cs="Arial"/>
          <w:sz w:val="20"/>
          <w:szCs w:val="20"/>
        </w:rPr>
      </w:pPr>
      <w:r w:rsidRPr="00FC6659">
        <w:rPr>
          <w:rFonts w:ascii="Arial" w:hAnsi="Arial" w:cs="Arial"/>
          <w:sz w:val="20"/>
          <w:szCs w:val="20"/>
        </w:rPr>
        <w:t>- Panagopoulos et al.(2021) : revue systématique de 238 études portant sur 2 des 10 caractéristiques-clés des agents cancé</w:t>
      </w:r>
      <w:r>
        <w:rPr>
          <w:rFonts w:ascii="Arial" w:hAnsi="Arial" w:cs="Arial"/>
          <w:sz w:val="20"/>
          <w:szCs w:val="20"/>
        </w:rPr>
        <w:t xml:space="preserve">rogènes (tableau présenté p.31 du pré-rapoprt), à savoir </w:t>
      </w:r>
      <w:r w:rsidRPr="00FC6659">
        <w:rPr>
          <w:rFonts w:ascii="Arial" w:hAnsi="Arial" w:cs="Arial"/>
          <w:sz w:val="20"/>
          <w:szCs w:val="20"/>
        </w:rPr>
        <w:t>les dommages à l’ADN et le stress oxydatif. 13 études portent sur les associations démontrées entre exposition aux ondes électromagnétiques et le cancer. 8 d’entre elles ne sont pas dans la bibliographie du pré-rapport.</w:t>
      </w:r>
    </w:p>
    <w:p w:rsidR="008645DF" w:rsidRPr="00FC6659" w:rsidRDefault="008645DF" w:rsidP="00FD065C">
      <w:pPr>
        <w:ind w:left="0" w:firstLine="0"/>
        <w:rPr>
          <w:rFonts w:ascii="Arial" w:hAnsi="Arial" w:cs="Arial"/>
          <w:bCs/>
          <w:iCs/>
          <w:sz w:val="20"/>
          <w:szCs w:val="20"/>
        </w:rPr>
      </w:pPr>
      <w:r w:rsidRPr="00FC6659">
        <w:rPr>
          <w:rFonts w:ascii="Arial" w:hAnsi="Arial" w:cs="Arial"/>
          <w:sz w:val="20"/>
          <w:szCs w:val="20"/>
        </w:rPr>
        <w:t xml:space="preserve">- </w:t>
      </w:r>
      <w:r>
        <w:rPr>
          <w:rFonts w:ascii="Arial" w:hAnsi="Arial" w:cs="Arial"/>
          <w:sz w:val="20"/>
          <w:szCs w:val="20"/>
        </w:rPr>
        <w:t>Schuermann et al.(2021) :</w:t>
      </w:r>
      <w:r w:rsidRPr="00FC6659">
        <w:rPr>
          <w:rFonts w:ascii="Arial" w:hAnsi="Arial" w:cs="Arial"/>
          <w:sz w:val="20"/>
          <w:szCs w:val="20"/>
        </w:rPr>
        <w:t xml:space="preserve"> revue de 223 références dont une </w:t>
      </w:r>
      <w:r w:rsidRPr="00FC6659">
        <w:rPr>
          <w:rFonts w:ascii="Arial" w:hAnsi="Arial" w:cs="Arial"/>
          <w:sz w:val="20"/>
          <w:szCs w:val="20"/>
          <w:shd w:val="clear" w:color="auto" w:fill="FFFFFF"/>
        </w:rPr>
        <w:t>partie est notamment consacrée au cancer (« </w:t>
      </w:r>
      <w:r w:rsidRPr="00FC6659">
        <w:rPr>
          <w:rFonts w:ascii="Arial" w:hAnsi="Arial" w:cs="Arial"/>
          <w:bCs/>
          <w:i/>
          <w:iCs/>
          <w:sz w:val="20"/>
          <w:szCs w:val="20"/>
        </w:rPr>
        <w:t>6.2. Experimental Data on the Effect of EMF on Skin, Epithelial, and Cancer Cells »</w:t>
      </w:r>
      <w:r w:rsidRPr="00FC6659">
        <w:rPr>
          <w:rFonts w:ascii="Arial" w:hAnsi="Arial" w:cs="Arial"/>
          <w:bCs/>
          <w:iCs/>
          <w:sz w:val="20"/>
          <w:szCs w:val="20"/>
        </w:rPr>
        <w:t>)</w:t>
      </w:r>
    </w:p>
    <w:p w:rsidR="008645DF" w:rsidRPr="00FC6659" w:rsidRDefault="008645DF" w:rsidP="00FD065C">
      <w:pPr>
        <w:ind w:left="0" w:firstLine="0"/>
        <w:rPr>
          <w:rFonts w:ascii="Arial" w:hAnsi="Arial" w:cs="Arial"/>
          <w:bCs/>
          <w:iCs/>
          <w:sz w:val="20"/>
          <w:szCs w:val="20"/>
        </w:rPr>
      </w:pPr>
      <w:r>
        <w:rPr>
          <w:rFonts w:ascii="Arial" w:hAnsi="Arial" w:cs="Arial"/>
          <w:bCs/>
          <w:iCs/>
          <w:sz w:val="20"/>
          <w:szCs w:val="20"/>
        </w:rPr>
        <w:t>10</w:t>
      </w:r>
      <w:r w:rsidRPr="00FC6659">
        <w:rPr>
          <w:rFonts w:ascii="Arial" w:hAnsi="Arial" w:cs="Arial"/>
          <w:bCs/>
          <w:iCs/>
          <w:sz w:val="20"/>
          <w:szCs w:val="20"/>
        </w:rPr>
        <w:t>. Bien qu’ayant souligné le cas particulier du système reproducteur masculin (la ligne de preuve la plus élevée pour les mécanismes ayant été validée par le groupe de travail compte-tenu de l’observation de génotoxicité, stress oxydant, inflammation, apoptose, autophagie, perturbation de la production hormonale), le pré-rapport conclue ainsi :</w:t>
      </w:r>
    </w:p>
    <w:p w:rsidR="008645DF" w:rsidRPr="00FC6659" w:rsidRDefault="008645DF" w:rsidP="00FD065C">
      <w:pPr>
        <w:ind w:left="0" w:firstLine="0"/>
        <w:rPr>
          <w:rFonts w:ascii="Arial" w:hAnsi="Arial" w:cs="Arial"/>
          <w:bCs/>
          <w:iCs/>
          <w:sz w:val="20"/>
          <w:szCs w:val="20"/>
        </w:rPr>
      </w:pPr>
      <w:r w:rsidRPr="00FC6659">
        <w:rPr>
          <w:rFonts w:ascii="Arial" w:hAnsi="Arial" w:cs="Arial"/>
          <w:sz w:val="20"/>
          <w:szCs w:val="20"/>
        </w:rPr>
        <w:t>« Quels que soient la localisation tumorale ou les systèmes biologiques analysés dans le présent rapport, les données disponibles ne permettent pas de conclure à l'existence ou à l'absence d'effets cancérogènes. Cette réponse s’applique également à la question globale d’un effet cancérogène chez l’humain ».</w:t>
      </w:r>
      <w:r>
        <w:rPr>
          <w:rFonts w:ascii="Arial" w:hAnsi="Arial" w:cs="Arial"/>
          <w:sz w:val="20"/>
          <w:szCs w:val="20"/>
        </w:rPr>
        <w:t xml:space="preserve">  = ?</w:t>
      </w:r>
    </w:p>
    <w:p w:rsidR="008645DF" w:rsidRDefault="008645DF" w:rsidP="00FD065C">
      <w:pPr>
        <w:shd w:val="clear" w:color="auto" w:fill="FFFFFF"/>
        <w:ind w:left="0" w:firstLine="0"/>
        <w:rPr>
          <w:rFonts w:ascii="Arial" w:hAnsi="Arial" w:cs="Arial"/>
          <w:sz w:val="20"/>
          <w:szCs w:val="20"/>
        </w:rPr>
      </w:pPr>
      <w:r w:rsidRPr="00FC6659">
        <w:rPr>
          <w:rFonts w:ascii="Arial" w:hAnsi="Arial" w:cs="Arial"/>
          <w:sz w:val="20"/>
          <w:szCs w:val="20"/>
        </w:rPr>
        <w:t>A noter : d’après le centre d’Urologie du CHU de Lille</w:t>
      </w:r>
      <w:r w:rsidRPr="00FC6659">
        <w:rPr>
          <w:rStyle w:val="Appelnotedebasdep"/>
          <w:rFonts w:ascii="Arial" w:hAnsi="Arial" w:cs="Arial"/>
        </w:rPr>
        <w:footnoteReference w:id="115"/>
      </w:r>
      <w:r w:rsidRPr="00FC6659">
        <w:rPr>
          <w:rFonts w:ascii="Arial" w:hAnsi="Arial" w:cs="Arial"/>
          <w:sz w:val="20"/>
          <w:szCs w:val="20"/>
        </w:rPr>
        <w:t>, le cancer du testicule est en nette augmentation depuis une trentaine d'années et est le premier cancer de l’adulte jeune entre 20 et 35 ans, il se développe après l’adolescence.</w:t>
      </w:r>
    </w:p>
    <w:p w:rsidR="008645DF" w:rsidRDefault="008645DF" w:rsidP="00FD065C">
      <w:pPr>
        <w:shd w:val="clear" w:color="auto" w:fill="FFFFFF"/>
        <w:ind w:left="0" w:firstLine="0"/>
        <w:rPr>
          <w:rFonts w:ascii="Arial" w:hAnsi="Arial" w:cs="Arial"/>
          <w:sz w:val="20"/>
          <w:szCs w:val="20"/>
        </w:rPr>
      </w:pPr>
    </w:p>
    <w:p w:rsidR="008645DF" w:rsidRDefault="008645DF" w:rsidP="009F3BB0">
      <w:pPr>
        <w:pStyle w:val="Paragraphedeliste"/>
        <w:numPr>
          <w:ilvl w:val="0"/>
          <w:numId w:val="20"/>
        </w:numPr>
        <w:shd w:val="clear" w:color="auto" w:fill="FFFFFF"/>
        <w:spacing w:after="200" w:line="276" w:lineRule="auto"/>
        <w:rPr>
          <w:rFonts w:ascii="Arial" w:hAnsi="Arial" w:cs="Arial"/>
          <w:sz w:val="20"/>
          <w:szCs w:val="20"/>
        </w:rPr>
      </w:pPr>
      <w:r>
        <w:rPr>
          <w:rFonts w:ascii="Arial" w:hAnsi="Arial" w:cs="Arial"/>
          <w:sz w:val="20"/>
          <w:szCs w:val="20"/>
        </w:rPr>
        <w:t>Graphes de lexicologie Gallicagram :</w:t>
      </w:r>
    </w:p>
    <w:p w:rsidR="008645DF" w:rsidRPr="000B3370" w:rsidRDefault="008645DF" w:rsidP="00FD065C">
      <w:pPr>
        <w:pStyle w:val="Paragraphedeliste"/>
        <w:ind w:left="0"/>
        <w:jc w:val="center"/>
        <w:rPr>
          <w:rFonts w:ascii="Arial" w:hAnsi="Arial" w:cs="Arial"/>
          <w:sz w:val="20"/>
          <w:szCs w:val="20"/>
        </w:rPr>
      </w:pPr>
      <w:r w:rsidRPr="005935A4">
        <w:rPr>
          <w:noProof/>
          <w:lang w:eastAsia="fr-FR"/>
        </w:rPr>
        <w:drawing>
          <wp:inline distT="0" distB="0" distL="0" distR="0">
            <wp:extent cx="6259830" cy="3200400"/>
            <wp:effectExtent l="19050" t="0" r="7620" b="0"/>
            <wp:docPr id="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6259830" cy="3200400"/>
                    </a:xfrm>
                    <a:prstGeom prst="rect">
                      <a:avLst/>
                    </a:prstGeom>
                    <a:noFill/>
                    <a:ln w="9525">
                      <a:noFill/>
                      <a:miter lim="800000"/>
                      <a:headEnd/>
                      <a:tailEnd/>
                    </a:ln>
                  </pic:spPr>
                </pic:pic>
              </a:graphicData>
            </a:graphic>
          </wp:inline>
        </w:drawing>
      </w:r>
    </w:p>
    <w:p w:rsidR="008645DF" w:rsidRPr="000B3370" w:rsidRDefault="008645DF" w:rsidP="008645DF">
      <w:pPr>
        <w:pStyle w:val="Paragraphedeliste"/>
        <w:ind w:left="0"/>
        <w:rPr>
          <w:rFonts w:ascii="Arial" w:hAnsi="Arial" w:cs="Arial"/>
          <w:sz w:val="20"/>
          <w:szCs w:val="20"/>
        </w:rPr>
      </w:pPr>
    </w:p>
    <w:p w:rsidR="008645DF" w:rsidRPr="000B3370" w:rsidRDefault="008645DF" w:rsidP="00FD065C">
      <w:pPr>
        <w:pStyle w:val="Paragraphedeliste"/>
        <w:ind w:left="0"/>
        <w:jc w:val="center"/>
        <w:rPr>
          <w:rFonts w:ascii="Arial" w:hAnsi="Arial" w:cs="Arial"/>
          <w:sz w:val="20"/>
          <w:szCs w:val="20"/>
        </w:rPr>
      </w:pPr>
      <w:r w:rsidRPr="005935A4">
        <w:rPr>
          <w:noProof/>
          <w:lang w:eastAsia="fr-FR"/>
        </w:rPr>
        <w:drawing>
          <wp:inline distT="0" distB="0" distL="0" distR="0">
            <wp:extent cx="6259830" cy="2989580"/>
            <wp:effectExtent l="19050" t="0" r="7620" b="0"/>
            <wp:docPr id="4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a:stretch>
                      <a:fillRect/>
                    </a:stretch>
                  </pic:blipFill>
                  <pic:spPr bwMode="auto">
                    <a:xfrm>
                      <a:off x="0" y="0"/>
                      <a:ext cx="6259830" cy="2989580"/>
                    </a:xfrm>
                    <a:prstGeom prst="rect">
                      <a:avLst/>
                    </a:prstGeom>
                    <a:noFill/>
                    <a:ln w="9525">
                      <a:noFill/>
                      <a:miter lim="800000"/>
                      <a:headEnd/>
                      <a:tailEnd/>
                    </a:ln>
                  </pic:spPr>
                </pic:pic>
              </a:graphicData>
            </a:graphic>
          </wp:inline>
        </w:drawing>
      </w:r>
    </w:p>
    <w:p w:rsidR="008645DF" w:rsidRPr="000B3370" w:rsidRDefault="008645DF" w:rsidP="008645DF">
      <w:pPr>
        <w:pStyle w:val="Paragraphedeliste"/>
        <w:ind w:left="0"/>
        <w:rPr>
          <w:rFonts w:ascii="Arial" w:hAnsi="Arial" w:cs="Arial"/>
          <w:sz w:val="20"/>
          <w:szCs w:val="20"/>
        </w:rPr>
      </w:pPr>
    </w:p>
    <w:p w:rsidR="008645DF" w:rsidRPr="000B3370" w:rsidRDefault="008645DF" w:rsidP="008645DF">
      <w:pPr>
        <w:pStyle w:val="Paragraphedeliste"/>
        <w:ind w:left="0"/>
        <w:rPr>
          <w:rFonts w:ascii="Arial" w:hAnsi="Arial" w:cs="Arial"/>
          <w:sz w:val="20"/>
          <w:szCs w:val="20"/>
        </w:rPr>
      </w:pPr>
    </w:p>
    <w:p w:rsidR="008645DF" w:rsidRPr="000B3370" w:rsidRDefault="008645DF" w:rsidP="008645DF">
      <w:pPr>
        <w:pStyle w:val="Paragraphedeliste"/>
        <w:ind w:left="0"/>
        <w:rPr>
          <w:rFonts w:ascii="Arial" w:hAnsi="Arial" w:cs="Arial"/>
          <w:sz w:val="20"/>
          <w:szCs w:val="20"/>
        </w:rPr>
      </w:pPr>
    </w:p>
    <w:p w:rsidR="008645DF" w:rsidRPr="000B3370" w:rsidRDefault="008645DF" w:rsidP="008645DF">
      <w:pPr>
        <w:pStyle w:val="Paragraphedeliste"/>
        <w:ind w:left="0"/>
        <w:rPr>
          <w:rFonts w:ascii="Arial" w:hAnsi="Arial" w:cs="Arial"/>
          <w:sz w:val="20"/>
          <w:szCs w:val="20"/>
        </w:rPr>
      </w:pPr>
    </w:p>
    <w:p w:rsidR="008645DF" w:rsidRPr="000B3370" w:rsidRDefault="008645DF" w:rsidP="00FD065C">
      <w:pPr>
        <w:pStyle w:val="Paragraphedeliste"/>
        <w:ind w:left="0"/>
        <w:jc w:val="center"/>
        <w:rPr>
          <w:rFonts w:ascii="Arial" w:hAnsi="Arial" w:cs="Arial"/>
          <w:sz w:val="20"/>
          <w:szCs w:val="20"/>
        </w:rPr>
      </w:pPr>
      <w:r w:rsidRPr="005935A4">
        <w:rPr>
          <w:noProof/>
          <w:lang w:eastAsia="fr-FR"/>
        </w:rPr>
        <w:drawing>
          <wp:inline distT="0" distB="0" distL="0" distR="0">
            <wp:extent cx="6259830" cy="2857500"/>
            <wp:effectExtent l="19050" t="0" r="7620" b="0"/>
            <wp:docPr id="2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srcRect/>
                    <a:stretch>
                      <a:fillRect/>
                    </a:stretch>
                  </pic:blipFill>
                  <pic:spPr bwMode="auto">
                    <a:xfrm>
                      <a:off x="0" y="0"/>
                      <a:ext cx="6259830" cy="2857500"/>
                    </a:xfrm>
                    <a:prstGeom prst="rect">
                      <a:avLst/>
                    </a:prstGeom>
                    <a:noFill/>
                    <a:ln w="9525">
                      <a:noFill/>
                      <a:miter lim="800000"/>
                      <a:headEnd/>
                      <a:tailEnd/>
                    </a:ln>
                  </pic:spPr>
                </pic:pic>
              </a:graphicData>
            </a:graphic>
          </wp:inline>
        </w:drawing>
      </w:r>
    </w:p>
    <w:p w:rsidR="008645DF" w:rsidRPr="000B3370" w:rsidRDefault="008645DF" w:rsidP="008645DF">
      <w:pPr>
        <w:pStyle w:val="Paragraphedeliste"/>
        <w:ind w:left="0"/>
        <w:rPr>
          <w:rFonts w:ascii="Arial" w:hAnsi="Arial" w:cs="Arial"/>
          <w:sz w:val="20"/>
          <w:szCs w:val="20"/>
        </w:rPr>
      </w:pPr>
    </w:p>
    <w:p w:rsidR="008645DF" w:rsidRPr="000B3370" w:rsidRDefault="008645DF" w:rsidP="008645DF">
      <w:pPr>
        <w:pStyle w:val="Paragraphedeliste"/>
        <w:ind w:left="0"/>
        <w:rPr>
          <w:rFonts w:ascii="Arial" w:hAnsi="Arial" w:cs="Arial"/>
          <w:sz w:val="20"/>
          <w:szCs w:val="20"/>
        </w:rPr>
      </w:pPr>
    </w:p>
    <w:p w:rsidR="008645DF" w:rsidRPr="000B3370" w:rsidRDefault="008645DF" w:rsidP="008645DF">
      <w:pPr>
        <w:pStyle w:val="Paragraphedeliste"/>
        <w:ind w:left="0"/>
        <w:rPr>
          <w:rFonts w:ascii="Arial" w:hAnsi="Arial" w:cs="Arial"/>
          <w:sz w:val="20"/>
          <w:szCs w:val="20"/>
        </w:rPr>
      </w:pPr>
      <w:r w:rsidRPr="000B3370">
        <w:rPr>
          <w:rFonts w:ascii="Arial" w:hAnsi="Arial" w:cs="Arial"/>
          <w:sz w:val="20"/>
          <w:szCs w:val="20"/>
        </w:rPr>
        <w:t>1950’s : période où l’on a commencé à faire un usage</w:t>
      </w:r>
      <w:r>
        <w:rPr>
          <w:rFonts w:ascii="Arial" w:hAnsi="Arial" w:cs="Arial"/>
          <w:sz w:val="20"/>
          <w:szCs w:val="20"/>
        </w:rPr>
        <w:t xml:space="preserve"> industriel des pesticides </w:t>
      </w:r>
    </w:p>
    <w:p w:rsidR="008645DF" w:rsidRPr="000B3370" w:rsidRDefault="008645DF" w:rsidP="008645DF">
      <w:pPr>
        <w:pStyle w:val="Paragraphedeliste"/>
        <w:ind w:left="0"/>
        <w:rPr>
          <w:rFonts w:ascii="Arial" w:hAnsi="Arial" w:cs="Arial"/>
          <w:sz w:val="20"/>
          <w:szCs w:val="20"/>
        </w:rPr>
      </w:pPr>
    </w:p>
    <w:p w:rsidR="008645DF" w:rsidRPr="000B3370" w:rsidRDefault="008645DF" w:rsidP="008645DF">
      <w:pPr>
        <w:pStyle w:val="Paragraphedeliste"/>
        <w:ind w:left="0"/>
        <w:rPr>
          <w:rFonts w:ascii="Arial" w:hAnsi="Arial" w:cs="Arial"/>
          <w:sz w:val="20"/>
          <w:szCs w:val="20"/>
        </w:rPr>
      </w:pPr>
    </w:p>
    <w:p w:rsidR="008645DF" w:rsidRPr="000B3370" w:rsidRDefault="008645DF" w:rsidP="008645DF">
      <w:pPr>
        <w:pStyle w:val="Paragraphedeliste"/>
        <w:ind w:left="0"/>
        <w:rPr>
          <w:rFonts w:ascii="Arial" w:hAnsi="Arial" w:cs="Arial"/>
          <w:sz w:val="20"/>
          <w:szCs w:val="20"/>
        </w:rPr>
      </w:pPr>
    </w:p>
    <w:p w:rsidR="008645DF" w:rsidRPr="000B3370" w:rsidRDefault="008645DF" w:rsidP="00FD065C">
      <w:pPr>
        <w:pStyle w:val="Paragraphedeliste"/>
        <w:ind w:left="0"/>
        <w:jc w:val="center"/>
        <w:rPr>
          <w:rFonts w:ascii="Arial" w:hAnsi="Arial" w:cs="Arial"/>
          <w:sz w:val="20"/>
          <w:szCs w:val="20"/>
        </w:rPr>
      </w:pPr>
      <w:r w:rsidRPr="005935A4">
        <w:rPr>
          <w:noProof/>
          <w:lang w:eastAsia="fr-FR"/>
        </w:rPr>
        <w:lastRenderedPageBreak/>
        <w:drawing>
          <wp:inline distT="0" distB="0" distL="0" distR="0">
            <wp:extent cx="6259830" cy="3156585"/>
            <wp:effectExtent l="19050" t="0" r="7620" b="0"/>
            <wp:docPr id="6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rcRect/>
                    <a:stretch>
                      <a:fillRect/>
                    </a:stretch>
                  </pic:blipFill>
                  <pic:spPr bwMode="auto">
                    <a:xfrm>
                      <a:off x="0" y="0"/>
                      <a:ext cx="6259830" cy="3156585"/>
                    </a:xfrm>
                    <a:prstGeom prst="rect">
                      <a:avLst/>
                    </a:prstGeom>
                    <a:noFill/>
                    <a:ln w="9525">
                      <a:noFill/>
                      <a:miter lim="800000"/>
                      <a:headEnd/>
                      <a:tailEnd/>
                    </a:ln>
                  </pic:spPr>
                </pic:pic>
              </a:graphicData>
            </a:graphic>
          </wp:inline>
        </w:drawing>
      </w:r>
    </w:p>
    <w:p w:rsidR="008645DF" w:rsidRPr="000B3370" w:rsidRDefault="008645DF" w:rsidP="008645DF">
      <w:pPr>
        <w:pStyle w:val="Paragraphedeliste"/>
        <w:ind w:left="0"/>
        <w:rPr>
          <w:rFonts w:ascii="Arial" w:hAnsi="Arial" w:cs="Arial"/>
          <w:sz w:val="20"/>
          <w:szCs w:val="20"/>
        </w:rPr>
      </w:pPr>
    </w:p>
    <w:p w:rsidR="008645DF" w:rsidRPr="000B3370" w:rsidRDefault="008645DF" w:rsidP="00FD065C">
      <w:pPr>
        <w:pStyle w:val="Paragraphedeliste"/>
        <w:ind w:left="0"/>
        <w:jc w:val="center"/>
        <w:rPr>
          <w:rFonts w:ascii="Arial" w:hAnsi="Arial" w:cs="Arial"/>
          <w:sz w:val="20"/>
          <w:szCs w:val="20"/>
        </w:rPr>
      </w:pPr>
      <w:r w:rsidRPr="005935A4">
        <w:rPr>
          <w:noProof/>
          <w:lang w:eastAsia="fr-FR"/>
        </w:rPr>
        <w:drawing>
          <wp:inline distT="0" distB="0" distL="0" distR="0">
            <wp:extent cx="6259830" cy="2901315"/>
            <wp:effectExtent l="19050" t="0" r="7620" b="0"/>
            <wp:docPr id="5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srcRect/>
                    <a:stretch>
                      <a:fillRect/>
                    </a:stretch>
                  </pic:blipFill>
                  <pic:spPr bwMode="auto">
                    <a:xfrm>
                      <a:off x="0" y="0"/>
                      <a:ext cx="6259830" cy="2901315"/>
                    </a:xfrm>
                    <a:prstGeom prst="rect">
                      <a:avLst/>
                    </a:prstGeom>
                    <a:noFill/>
                    <a:ln w="9525">
                      <a:noFill/>
                      <a:miter lim="800000"/>
                      <a:headEnd/>
                      <a:tailEnd/>
                    </a:ln>
                  </pic:spPr>
                </pic:pic>
              </a:graphicData>
            </a:graphic>
          </wp:inline>
        </w:drawing>
      </w:r>
    </w:p>
    <w:p w:rsidR="008645DF" w:rsidRPr="000B3370" w:rsidRDefault="008645DF" w:rsidP="00FD065C">
      <w:pPr>
        <w:pStyle w:val="Paragraphedeliste"/>
        <w:ind w:left="0"/>
        <w:jc w:val="center"/>
        <w:rPr>
          <w:rFonts w:ascii="Arial" w:hAnsi="Arial" w:cs="Arial"/>
          <w:sz w:val="20"/>
          <w:szCs w:val="20"/>
        </w:rPr>
      </w:pPr>
      <w:r w:rsidRPr="005935A4">
        <w:rPr>
          <w:noProof/>
          <w:lang w:eastAsia="fr-FR"/>
        </w:rPr>
        <w:drawing>
          <wp:inline distT="0" distB="0" distL="0" distR="0">
            <wp:extent cx="6259830" cy="2919095"/>
            <wp:effectExtent l="19050" t="0" r="7620" b="0"/>
            <wp:docPr id="5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srcRect/>
                    <a:stretch>
                      <a:fillRect/>
                    </a:stretch>
                  </pic:blipFill>
                  <pic:spPr bwMode="auto">
                    <a:xfrm>
                      <a:off x="0" y="0"/>
                      <a:ext cx="6259830" cy="2919095"/>
                    </a:xfrm>
                    <a:prstGeom prst="rect">
                      <a:avLst/>
                    </a:prstGeom>
                    <a:noFill/>
                    <a:ln w="9525">
                      <a:noFill/>
                      <a:miter lim="800000"/>
                      <a:headEnd/>
                      <a:tailEnd/>
                    </a:ln>
                  </pic:spPr>
                </pic:pic>
              </a:graphicData>
            </a:graphic>
          </wp:inline>
        </w:drawing>
      </w:r>
    </w:p>
    <w:p w:rsidR="008645DF" w:rsidRPr="000B3370" w:rsidRDefault="008645DF" w:rsidP="008645DF">
      <w:pPr>
        <w:pStyle w:val="Paragraphedeliste"/>
        <w:ind w:left="0"/>
        <w:rPr>
          <w:rFonts w:ascii="Arial" w:hAnsi="Arial" w:cs="Arial"/>
          <w:sz w:val="20"/>
          <w:szCs w:val="20"/>
        </w:rPr>
      </w:pPr>
    </w:p>
    <w:p w:rsidR="008645DF" w:rsidRPr="000B3370" w:rsidRDefault="008645DF" w:rsidP="00FD065C">
      <w:pPr>
        <w:pStyle w:val="Paragraphedeliste"/>
        <w:ind w:left="0"/>
        <w:jc w:val="center"/>
        <w:rPr>
          <w:rFonts w:ascii="Arial" w:hAnsi="Arial" w:cs="Arial"/>
          <w:sz w:val="20"/>
          <w:szCs w:val="20"/>
        </w:rPr>
      </w:pPr>
      <w:r w:rsidRPr="005935A4">
        <w:rPr>
          <w:noProof/>
          <w:lang w:eastAsia="fr-FR"/>
        </w:rPr>
        <w:drawing>
          <wp:inline distT="0" distB="0" distL="0" distR="0">
            <wp:extent cx="6259830" cy="2830830"/>
            <wp:effectExtent l="19050" t="0" r="7620" b="0"/>
            <wp:docPr id="5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srcRect/>
                    <a:stretch>
                      <a:fillRect/>
                    </a:stretch>
                  </pic:blipFill>
                  <pic:spPr bwMode="auto">
                    <a:xfrm>
                      <a:off x="0" y="0"/>
                      <a:ext cx="6259830" cy="2830830"/>
                    </a:xfrm>
                    <a:prstGeom prst="rect">
                      <a:avLst/>
                    </a:prstGeom>
                    <a:noFill/>
                    <a:ln w="9525">
                      <a:noFill/>
                      <a:miter lim="800000"/>
                      <a:headEnd/>
                      <a:tailEnd/>
                    </a:ln>
                  </pic:spPr>
                </pic:pic>
              </a:graphicData>
            </a:graphic>
          </wp:inline>
        </w:drawing>
      </w:r>
    </w:p>
    <w:p w:rsidR="008645DF" w:rsidRPr="000B3370" w:rsidRDefault="008645DF" w:rsidP="00FD065C">
      <w:pPr>
        <w:pStyle w:val="Paragraphedeliste"/>
        <w:ind w:left="0"/>
        <w:jc w:val="center"/>
        <w:rPr>
          <w:rFonts w:ascii="Arial" w:hAnsi="Arial" w:cs="Arial"/>
          <w:sz w:val="20"/>
          <w:szCs w:val="20"/>
        </w:rPr>
      </w:pPr>
      <w:r w:rsidRPr="005935A4">
        <w:rPr>
          <w:noProof/>
          <w:lang w:eastAsia="fr-FR"/>
        </w:rPr>
        <w:drawing>
          <wp:inline distT="0" distB="0" distL="0" distR="0">
            <wp:extent cx="6251575" cy="2884170"/>
            <wp:effectExtent l="19050" t="0" r="0" b="0"/>
            <wp:docPr id="6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srcRect/>
                    <a:stretch>
                      <a:fillRect/>
                    </a:stretch>
                  </pic:blipFill>
                  <pic:spPr bwMode="auto">
                    <a:xfrm>
                      <a:off x="0" y="0"/>
                      <a:ext cx="6251575" cy="2884170"/>
                    </a:xfrm>
                    <a:prstGeom prst="rect">
                      <a:avLst/>
                    </a:prstGeom>
                    <a:noFill/>
                    <a:ln w="9525">
                      <a:noFill/>
                      <a:miter lim="800000"/>
                      <a:headEnd/>
                      <a:tailEnd/>
                    </a:ln>
                  </pic:spPr>
                </pic:pic>
              </a:graphicData>
            </a:graphic>
          </wp:inline>
        </w:drawing>
      </w:r>
    </w:p>
    <w:p w:rsidR="008645DF" w:rsidRPr="000B3370" w:rsidRDefault="008645DF" w:rsidP="00FD065C">
      <w:pPr>
        <w:pStyle w:val="Paragraphedeliste"/>
        <w:ind w:left="0"/>
        <w:jc w:val="center"/>
        <w:rPr>
          <w:rFonts w:ascii="Arial" w:hAnsi="Arial" w:cs="Arial"/>
          <w:sz w:val="20"/>
          <w:szCs w:val="20"/>
        </w:rPr>
      </w:pPr>
      <w:r w:rsidRPr="005935A4">
        <w:rPr>
          <w:noProof/>
          <w:lang w:eastAsia="fr-FR"/>
        </w:rPr>
        <w:drawing>
          <wp:inline distT="0" distB="0" distL="0" distR="0">
            <wp:extent cx="6259830" cy="2875280"/>
            <wp:effectExtent l="19050" t="0" r="7620" b="0"/>
            <wp:docPr id="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srcRect/>
                    <a:stretch>
                      <a:fillRect/>
                    </a:stretch>
                  </pic:blipFill>
                  <pic:spPr bwMode="auto">
                    <a:xfrm>
                      <a:off x="0" y="0"/>
                      <a:ext cx="6259830" cy="2875280"/>
                    </a:xfrm>
                    <a:prstGeom prst="rect">
                      <a:avLst/>
                    </a:prstGeom>
                    <a:noFill/>
                    <a:ln w="9525">
                      <a:noFill/>
                      <a:miter lim="800000"/>
                      <a:headEnd/>
                      <a:tailEnd/>
                    </a:ln>
                  </pic:spPr>
                </pic:pic>
              </a:graphicData>
            </a:graphic>
          </wp:inline>
        </w:drawing>
      </w:r>
    </w:p>
    <w:p w:rsidR="008645DF" w:rsidRPr="000B3370" w:rsidRDefault="008645DF" w:rsidP="008645DF">
      <w:pPr>
        <w:pStyle w:val="Paragraphedeliste"/>
        <w:ind w:left="0"/>
        <w:rPr>
          <w:rFonts w:ascii="Arial" w:hAnsi="Arial" w:cs="Arial"/>
          <w:sz w:val="20"/>
          <w:szCs w:val="20"/>
        </w:rPr>
      </w:pPr>
    </w:p>
    <w:p w:rsidR="008645DF" w:rsidRPr="000B3370" w:rsidRDefault="008645DF" w:rsidP="008645DF">
      <w:pPr>
        <w:pStyle w:val="Paragraphedeliste"/>
        <w:ind w:left="0"/>
        <w:rPr>
          <w:rFonts w:ascii="Arial" w:hAnsi="Arial" w:cs="Arial"/>
          <w:sz w:val="20"/>
          <w:szCs w:val="20"/>
        </w:rPr>
      </w:pPr>
    </w:p>
    <w:p w:rsidR="008645DF" w:rsidRPr="000B3370" w:rsidRDefault="008645DF" w:rsidP="00FD065C">
      <w:pPr>
        <w:pStyle w:val="Paragraphedeliste"/>
        <w:ind w:left="0"/>
        <w:jc w:val="center"/>
        <w:rPr>
          <w:rFonts w:ascii="Arial" w:hAnsi="Arial" w:cs="Arial"/>
          <w:sz w:val="20"/>
          <w:szCs w:val="20"/>
        </w:rPr>
      </w:pPr>
      <w:r w:rsidRPr="005935A4">
        <w:rPr>
          <w:noProof/>
          <w:lang w:eastAsia="fr-FR"/>
        </w:rPr>
        <w:lastRenderedPageBreak/>
        <w:drawing>
          <wp:inline distT="0" distB="0" distL="0" distR="0">
            <wp:extent cx="6251575" cy="2927985"/>
            <wp:effectExtent l="19050" t="0" r="0" b="0"/>
            <wp:docPr id="5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srcRect/>
                    <a:stretch>
                      <a:fillRect/>
                    </a:stretch>
                  </pic:blipFill>
                  <pic:spPr bwMode="auto">
                    <a:xfrm>
                      <a:off x="0" y="0"/>
                      <a:ext cx="6251575" cy="2927985"/>
                    </a:xfrm>
                    <a:prstGeom prst="rect">
                      <a:avLst/>
                    </a:prstGeom>
                    <a:noFill/>
                    <a:ln w="9525">
                      <a:noFill/>
                      <a:miter lim="800000"/>
                      <a:headEnd/>
                      <a:tailEnd/>
                    </a:ln>
                  </pic:spPr>
                </pic:pic>
              </a:graphicData>
            </a:graphic>
          </wp:inline>
        </w:drawing>
      </w:r>
    </w:p>
    <w:p w:rsidR="008645DF" w:rsidRPr="000B3370" w:rsidRDefault="008645DF" w:rsidP="00FD065C">
      <w:pPr>
        <w:pStyle w:val="Paragraphedeliste"/>
        <w:ind w:left="0"/>
        <w:jc w:val="center"/>
        <w:rPr>
          <w:rFonts w:ascii="Arial" w:hAnsi="Arial" w:cs="Arial"/>
          <w:sz w:val="20"/>
          <w:szCs w:val="20"/>
        </w:rPr>
      </w:pPr>
    </w:p>
    <w:p w:rsidR="008645DF" w:rsidRPr="000B3370" w:rsidRDefault="008645DF" w:rsidP="00FD065C">
      <w:pPr>
        <w:pStyle w:val="Paragraphedeliste"/>
        <w:spacing w:before="100" w:beforeAutospacing="1" w:after="100" w:afterAutospacing="1"/>
        <w:ind w:left="0"/>
        <w:jc w:val="center"/>
        <w:rPr>
          <w:rFonts w:ascii="Arial" w:eastAsia="Times New Roman" w:hAnsi="Arial" w:cs="Arial"/>
          <w:sz w:val="20"/>
          <w:szCs w:val="20"/>
          <w:lang w:eastAsia="fr-FR"/>
        </w:rPr>
      </w:pPr>
      <w:r w:rsidRPr="005935A4">
        <w:rPr>
          <w:noProof/>
          <w:lang w:eastAsia="fr-FR"/>
        </w:rPr>
        <w:drawing>
          <wp:inline distT="0" distB="0" distL="0" distR="0">
            <wp:extent cx="6330315" cy="3015615"/>
            <wp:effectExtent l="19050" t="0" r="0" b="0"/>
            <wp:docPr id="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a:stretch>
                      <a:fillRect/>
                    </a:stretch>
                  </pic:blipFill>
                  <pic:spPr bwMode="auto">
                    <a:xfrm>
                      <a:off x="0" y="0"/>
                      <a:ext cx="6330315" cy="3015615"/>
                    </a:xfrm>
                    <a:prstGeom prst="rect">
                      <a:avLst/>
                    </a:prstGeom>
                    <a:noFill/>
                    <a:ln w="9525">
                      <a:noFill/>
                      <a:miter lim="800000"/>
                      <a:headEnd/>
                      <a:tailEnd/>
                    </a:ln>
                  </pic:spPr>
                </pic:pic>
              </a:graphicData>
            </a:graphic>
          </wp:inline>
        </w:drawing>
      </w:r>
    </w:p>
    <w:p w:rsidR="008645DF" w:rsidRPr="000B3370" w:rsidRDefault="008645DF" w:rsidP="00FD065C">
      <w:pPr>
        <w:pStyle w:val="Paragraphedeliste"/>
        <w:spacing w:before="100" w:beforeAutospacing="1" w:after="100" w:afterAutospacing="1"/>
        <w:ind w:left="0"/>
        <w:jc w:val="center"/>
        <w:rPr>
          <w:rFonts w:ascii="Arial" w:eastAsia="Times New Roman" w:hAnsi="Arial" w:cs="Arial"/>
          <w:sz w:val="20"/>
          <w:szCs w:val="20"/>
          <w:lang w:eastAsia="fr-FR"/>
        </w:rPr>
      </w:pPr>
      <w:r w:rsidRPr="005935A4">
        <w:rPr>
          <w:noProof/>
          <w:lang w:eastAsia="fr-FR"/>
        </w:rPr>
        <w:drawing>
          <wp:inline distT="0" distB="0" distL="0" distR="0">
            <wp:extent cx="6324600" cy="3019425"/>
            <wp:effectExtent l="19050" t="0" r="0" b="0"/>
            <wp:docPr id="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a:stretch>
                      <a:fillRect/>
                    </a:stretch>
                  </pic:blipFill>
                  <pic:spPr bwMode="auto">
                    <a:xfrm>
                      <a:off x="0" y="0"/>
                      <a:ext cx="6324600" cy="3019425"/>
                    </a:xfrm>
                    <a:prstGeom prst="rect">
                      <a:avLst/>
                    </a:prstGeom>
                    <a:noFill/>
                    <a:ln w="9525">
                      <a:noFill/>
                      <a:miter lim="800000"/>
                      <a:headEnd/>
                      <a:tailEnd/>
                    </a:ln>
                  </pic:spPr>
                </pic:pic>
              </a:graphicData>
            </a:graphic>
          </wp:inline>
        </w:drawing>
      </w:r>
    </w:p>
    <w:p w:rsidR="008645DF" w:rsidRPr="005935A4" w:rsidRDefault="008645DF" w:rsidP="00FD065C">
      <w:pPr>
        <w:jc w:val="center"/>
        <w:rPr>
          <w:rFonts w:ascii="Arial" w:eastAsia="Times New Roman" w:hAnsi="Arial" w:cs="Arial"/>
          <w:sz w:val="20"/>
          <w:szCs w:val="20"/>
          <w:lang w:eastAsia="fr-FR"/>
        </w:rPr>
      </w:pPr>
      <w:r w:rsidRPr="005935A4">
        <w:rPr>
          <w:rFonts w:ascii="Arial" w:eastAsia="Times New Roman" w:hAnsi="Arial" w:cs="Arial"/>
          <w:noProof/>
          <w:sz w:val="20"/>
          <w:szCs w:val="20"/>
          <w:lang w:eastAsia="fr-FR"/>
        </w:rPr>
        <w:lastRenderedPageBreak/>
        <w:drawing>
          <wp:inline distT="0" distB="0" distL="0" distR="0">
            <wp:extent cx="6259830" cy="2954020"/>
            <wp:effectExtent l="19050" t="0" r="7620" b="0"/>
            <wp:docPr id="5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srcRect/>
                    <a:stretch>
                      <a:fillRect/>
                    </a:stretch>
                  </pic:blipFill>
                  <pic:spPr bwMode="auto">
                    <a:xfrm>
                      <a:off x="0" y="0"/>
                      <a:ext cx="6259830" cy="2954020"/>
                    </a:xfrm>
                    <a:prstGeom prst="rect">
                      <a:avLst/>
                    </a:prstGeom>
                    <a:noFill/>
                    <a:ln w="9525">
                      <a:noFill/>
                      <a:miter lim="800000"/>
                      <a:headEnd/>
                      <a:tailEnd/>
                    </a:ln>
                  </pic:spPr>
                </pic:pic>
              </a:graphicData>
            </a:graphic>
          </wp:inline>
        </w:drawing>
      </w:r>
    </w:p>
    <w:p w:rsidR="008645DF" w:rsidRPr="005935A4" w:rsidRDefault="008645DF" w:rsidP="00FD065C">
      <w:pPr>
        <w:jc w:val="center"/>
        <w:rPr>
          <w:rFonts w:ascii="Arial" w:eastAsia="Times New Roman" w:hAnsi="Arial" w:cs="Arial"/>
          <w:sz w:val="20"/>
          <w:szCs w:val="20"/>
          <w:lang w:eastAsia="fr-FR"/>
        </w:rPr>
      </w:pPr>
      <w:r w:rsidRPr="005935A4">
        <w:rPr>
          <w:rFonts w:ascii="Arial" w:eastAsia="Times New Roman" w:hAnsi="Arial" w:cs="Arial"/>
          <w:noProof/>
          <w:sz w:val="20"/>
          <w:szCs w:val="20"/>
          <w:lang w:eastAsia="fr-FR"/>
        </w:rPr>
        <w:drawing>
          <wp:inline distT="0" distB="0" distL="0" distR="0">
            <wp:extent cx="6259830" cy="2857500"/>
            <wp:effectExtent l="19050" t="0" r="7620" b="0"/>
            <wp:docPr id="6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a:stretch>
                      <a:fillRect/>
                    </a:stretch>
                  </pic:blipFill>
                  <pic:spPr bwMode="auto">
                    <a:xfrm>
                      <a:off x="0" y="0"/>
                      <a:ext cx="6259830" cy="2857500"/>
                    </a:xfrm>
                    <a:prstGeom prst="rect">
                      <a:avLst/>
                    </a:prstGeom>
                    <a:noFill/>
                    <a:ln w="9525">
                      <a:noFill/>
                      <a:miter lim="800000"/>
                      <a:headEnd/>
                      <a:tailEnd/>
                    </a:ln>
                  </pic:spPr>
                </pic:pic>
              </a:graphicData>
            </a:graphic>
          </wp:inline>
        </w:drawing>
      </w:r>
    </w:p>
    <w:p w:rsidR="008645DF" w:rsidRPr="005935A4" w:rsidRDefault="008645DF" w:rsidP="00D9648F">
      <w:pPr>
        <w:spacing w:before="100" w:beforeAutospacing="1" w:after="100" w:afterAutospacing="1"/>
        <w:jc w:val="center"/>
        <w:rPr>
          <w:rFonts w:ascii="Arial" w:eastAsia="Times New Roman" w:hAnsi="Arial" w:cs="Arial"/>
          <w:sz w:val="20"/>
          <w:szCs w:val="20"/>
          <w:lang w:eastAsia="fr-FR"/>
        </w:rPr>
      </w:pPr>
      <w:r w:rsidRPr="005935A4">
        <w:rPr>
          <w:rFonts w:ascii="Arial" w:eastAsia="Times New Roman" w:hAnsi="Arial" w:cs="Arial"/>
          <w:noProof/>
          <w:sz w:val="20"/>
          <w:szCs w:val="20"/>
          <w:lang w:eastAsia="fr-FR"/>
        </w:rPr>
        <w:drawing>
          <wp:inline distT="0" distB="0" distL="0" distR="0">
            <wp:extent cx="6330315" cy="2910205"/>
            <wp:effectExtent l="19050" t="0" r="0" b="0"/>
            <wp:docPr id="1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srcRect/>
                    <a:stretch>
                      <a:fillRect/>
                    </a:stretch>
                  </pic:blipFill>
                  <pic:spPr bwMode="auto">
                    <a:xfrm>
                      <a:off x="0" y="0"/>
                      <a:ext cx="6330315" cy="2910205"/>
                    </a:xfrm>
                    <a:prstGeom prst="rect">
                      <a:avLst/>
                    </a:prstGeom>
                    <a:noFill/>
                    <a:ln w="9525">
                      <a:noFill/>
                      <a:miter lim="800000"/>
                      <a:headEnd/>
                      <a:tailEnd/>
                    </a:ln>
                  </pic:spPr>
                </pic:pic>
              </a:graphicData>
            </a:graphic>
          </wp:inline>
        </w:drawing>
      </w:r>
    </w:p>
    <w:p w:rsidR="008645DF" w:rsidRPr="005935A4" w:rsidRDefault="008645DF" w:rsidP="00D9648F">
      <w:pPr>
        <w:jc w:val="center"/>
        <w:rPr>
          <w:rFonts w:ascii="Arial" w:eastAsia="Times New Roman" w:hAnsi="Arial" w:cs="Arial"/>
          <w:sz w:val="20"/>
          <w:szCs w:val="20"/>
          <w:lang w:eastAsia="fr-FR"/>
        </w:rPr>
      </w:pPr>
      <w:r w:rsidRPr="005935A4">
        <w:rPr>
          <w:rFonts w:ascii="Arial" w:eastAsia="Times New Roman" w:hAnsi="Arial" w:cs="Arial"/>
          <w:noProof/>
          <w:sz w:val="20"/>
          <w:szCs w:val="20"/>
          <w:lang w:eastAsia="fr-FR"/>
        </w:rPr>
        <w:lastRenderedPageBreak/>
        <w:drawing>
          <wp:inline distT="0" distB="0" distL="0" distR="0">
            <wp:extent cx="6339205" cy="2998470"/>
            <wp:effectExtent l="19050" t="0" r="4445" b="0"/>
            <wp:docPr id="1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srcRect/>
                    <a:stretch>
                      <a:fillRect/>
                    </a:stretch>
                  </pic:blipFill>
                  <pic:spPr bwMode="auto">
                    <a:xfrm>
                      <a:off x="0" y="0"/>
                      <a:ext cx="6339205" cy="2998470"/>
                    </a:xfrm>
                    <a:prstGeom prst="rect">
                      <a:avLst/>
                    </a:prstGeom>
                    <a:noFill/>
                    <a:ln w="9525">
                      <a:noFill/>
                      <a:miter lim="800000"/>
                      <a:headEnd/>
                      <a:tailEnd/>
                    </a:ln>
                  </pic:spPr>
                </pic:pic>
              </a:graphicData>
            </a:graphic>
          </wp:inline>
        </w:drawing>
      </w:r>
    </w:p>
    <w:p w:rsidR="008645DF" w:rsidRPr="005935A4" w:rsidRDefault="008645DF" w:rsidP="00D9648F">
      <w:pPr>
        <w:jc w:val="center"/>
        <w:rPr>
          <w:rFonts w:ascii="Arial" w:eastAsia="Times New Roman" w:hAnsi="Arial" w:cs="Arial"/>
          <w:sz w:val="20"/>
          <w:szCs w:val="20"/>
          <w:lang w:eastAsia="fr-FR"/>
        </w:rPr>
      </w:pPr>
      <w:r w:rsidRPr="005935A4">
        <w:rPr>
          <w:rFonts w:ascii="Arial" w:eastAsia="Times New Roman" w:hAnsi="Arial" w:cs="Arial"/>
          <w:noProof/>
          <w:sz w:val="20"/>
          <w:szCs w:val="20"/>
          <w:lang w:eastAsia="fr-FR"/>
        </w:rPr>
        <w:drawing>
          <wp:inline distT="0" distB="0" distL="0" distR="0">
            <wp:extent cx="6259830" cy="2954020"/>
            <wp:effectExtent l="19050" t="0" r="7620" b="0"/>
            <wp:docPr id="6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srcRect/>
                    <a:stretch>
                      <a:fillRect/>
                    </a:stretch>
                  </pic:blipFill>
                  <pic:spPr bwMode="auto">
                    <a:xfrm>
                      <a:off x="0" y="0"/>
                      <a:ext cx="6259830" cy="2954020"/>
                    </a:xfrm>
                    <a:prstGeom prst="rect">
                      <a:avLst/>
                    </a:prstGeom>
                    <a:noFill/>
                    <a:ln w="9525">
                      <a:noFill/>
                      <a:miter lim="800000"/>
                      <a:headEnd/>
                      <a:tailEnd/>
                    </a:ln>
                  </pic:spPr>
                </pic:pic>
              </a:graphicData>
            </a:graphic>
          </wp:inline>
        </w:drawing>
      </w:r>
    </w:p>
    <w:p w:rsidR="008645DF" w:rsidRPr="005935A4" w:rsidRDefault="008645DF" w:rsidP="00D9648F">
      <w:pPr>
        <w:spacing w:before="100" w:beforeAutospacing="1" w:after="100" w:afterAutospacing="1"/>
        <w:jc w:val="center"/>
        <w:rPr>
          <w:rFonts w:ascii="Arial" w:eastAsia="Times New Roman" w:hAnsi="Arial" w:cs="Arial"/>
          <w:sz w:val="20"/>
          <w:szCs w:val="20"/>
          <w:lang w:eastAsia="fr-FR"/>
        </w:rPr>
      </w:pPr>
      <w:r w:rsidRPr="005935A4">
        <w:rPr>
          <w:rFonts w:ascii="Arial" w:eastAsia="Times New Roman" w:hAnsi="Arial" w:cs="Arial"/>
          <w:noProof/>
          <w:sz w:val="20"/>
          <w:szCs w:val="20"/>
          <w:lang w:eastAsia="fr-FR"/>
        </w:rPr>
        <w:drawing>
          <wp:inline distT="0" distB="0" distL="0" distR="0">
            <wp:extent cx="6259830" cy="2875280"/>
            <wp:effectExtent l="19050" t="0" r="7620" b="0"/>
            <wp:docPr id="6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srcRect/>
                    <a:stretch>
                      <a:fillRect/>
                    </a:stretch>
                  </pic:blipFill>
                  <pic:spPr bwMode="auto">
                    <a:xfrm>
                      <a:off x="0" y="0"/>
                      <a:ext cx="6259830" cy="2875280"/>
                    </a:xfrm>
                    <a:prstGeom prst="rect">
                      <a:avLst/>
                    </a:prstGeom>
                    <a:noFill/>
                    <a:ln w="9525">
                      <a:noFill/>
                      <a:miter lim="800000"/>
                      <a:headEnd/>
                      <a:tailEnd/>
                    </a:ln>
                  </pic:spPr>
                </pic:pic>
              </a:graphicData>
            </a:graphic>
          </wp:inline>
        </w:drawing>
      </w:r>
    </w:p>
    <w:p w:rsidR="008645DF" w:rsidRPr="005935A4" w:rsidRDefault="008645DF" w:rsidP="00D9648F">
      <w:pPr>
        <w:spacing w:before="100" w:beforeAutospacing="1" w:after="100" w:afterAutospacing="1"/>
        <w:jc w:val="center"/>
        <w:rPr>
          <w:rFonts w:ascii="Arial" w:eastAsia="Times New Roman" w:hAnsi="Arial" w:cs="Arial"/>
          <w:sz w:val="20"/>
          <w:szCs w:val="20"/>
          <w:lang w:eastAsia="fr-FR"/>
        </w:rPr>
      </w:pPr>
      <w:r w:rsidRPr="005935A4">
        <w:rPr>
          <w:rFonts w:ascii="Arial" w:eastAsia="Times New Roman" w:hAnsi="Arial" w:cs="Arial"/>
          <w:noProof/>
          <w:sz w:val="20"/>
          <w:szCs w:val="20"/>
          <w:lang w:eastAsia="fr-FR"/>
        </w:rPr>
        <w:lastRenderedPageBreak/>
        <w:drawing>
          <wp:inline distT="0" distB="0" distL="0" distR="0">
            <wp:extent cx="6259830" cy="2927985"/>
            <wp:effectExtent l="19050" t="0" r="7620" b="0"/>
            <wp:docPr id="6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srcRect/>
                    <a:stretch>
                      <a:fillRect/>
                    </a:stretch>
                  </pic:blipFill>
                  <pic:spPr bwMode="auto">
                    <a:xfrm>
                      <a:off x="0" y="0"/>
                      <a:ext cx="6259830" cy="2927985"/>
                    </a:xfrm>
                    <a:prstGeom prst="rect">
                      <a:avLst/>
                    </a:prstGeom>
                    <a:noFill/>
                    <a:ln w="9525">
                      <a:noFill/>
                      <a:miter lim="800000"/>
                      <a:headEnd/>
                      <a:tailEnd/>
                    </a:ln>
                  </pic:spPr>
                </pic:pic>
              </a:graphicData>
            </a:graphic>
          </wp:inline>
        </w:drawing>
      </w:r>
    </w:p>
    <w:p w:rsidR="008645DF" w:rsidRPr="005935A4" w:rsidRDefault="008645DF" w:rsidP="00D9648F">
      <w:pPr>
        <w:jc w:val="center"/>
        <w:rPr>
          <w:rFonts w:ascii="Arial" w:hAnsi="Arial" w:cs="Arial"/>
          <w:sz w:val="20"/>
          <w:szCs w:val="20"/>
        </w:rPr>
      </w:pPr>
      <w:r w:rsidRPr="005935A4">
        <w:rPr>
          <w:rFonts w:ascii="Arial" w:hAnsi="Arial" w:cs="Arial"/>
          <w:noProof/>
          <w:sz w:val="20"/>
          <w:szCs w:val="20"/>
          <w:lang w:eastAsia="fr-FR"/>
        </w:rPr>
        <w:drawing>
          <wp:inline distT="0" distB="0" distL="0" distR="0">
            <wp:extent cx="6259830" cy="2927985"/>
            <wp:effectExtent l="19050" t="0" r="7620" b="0"/>
            <wp:docPr id="6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srcRect/>
                    <a:stretch>
                      <a:fillRect/>
                    </a:stretch>
                  </pic:blipFill>
                  <pic:spPr bwMode="auto">
                    <a:xfrm>
                      <a:off x="0" y="0"/>
                      <a:ext cx="6259830" cy="2927985"/>
                    </a:xfrm>
                    <a:prstGeom prst="rect">
                      <a:avLst/>
                    </a:prstGeom>
                    <a:noFill/>
                    <a:ln w="9525">
                      <a:noFill/>
                      <a:miter lim="800000"/>
                      <a:headEnd/>
                      <a:tailEnd/>
                    </a:ln>
                  </pic:spPr>
                </pic:pic>
              </a:graphicData>
            </a:graphic>
          </wp:inline>
        </w:drawing>
      </w:r>
    </w:p>
    <w:p w:rsidR="008645DF" w:rsidRPr="005935A4" w:rsidRDefault="008645DF" w:rsidP="00D9648F">
      <w:pPr>
        <w:jc w:val="center"/>
        <w:rPr>
          <w:rFonts w:ascii="Arial" w:hAnsi="Arial" w:cs="Arial"/>
          <w:sz w:val="20"/>
          <w:szCs w:val="20"/>
        </w:rPr>
      </w:pPr>
      <w:r w:rsidRPr="005935A4">
        <w:rPr>
          <w:rFonts w:ascii="Arial" w:hAnsi="Arial" w:cs="Arial"/>
          <w:noProof/>
          <w:sz w:val="20"/>
          <w:szCs w:val="20"/>
          <w:lang w:eastAsia="fr-FR"/>
        </w:rPr>
        <w:drawing>
          <wp:inline distT="0" distB="0" distL="0" distR="0">
            <wp:extent cx="6334125" cy="2981325"/>
            <wp:effectExtent l="19050" t="0" r="9525" b="0"/>
            <wp:docPr id="10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srcRect/>
                    <a:stretch>
                      <a:fillRect/>
                    </a:stretch>
                  </pic:blipFill>
                  <pic:spPr bwMode="auto">
                    <a:xfrm>
                      <a:off x="0" y="0"/>
                      <a:ext cx="6334125" cy="2981325"/>
                    </a:xfrm>
                    <a:prstGeom prst="rect">
                      <a:avLst/>
                    </a:prstGeom>
                    <a:noFill/>
                    <a:ln w="9525">
                      <a:noFill/>
                      <a:miter lim="800000"/>
                      <a:headEnd/>
                      <a:tailEnd/>
                    </a:ln>
                  </pic:spPr>
                </pic:pic>
              </a:graphicData>
            </a:graphic>
          </wp:inline>
        </w:drawing>
      </w:r>
    </w:p>
    <w:p w:rsidR="008645DF" w:rsidRPr="005935A4" w:rsidRDefault="008645DF" w:rsidP="008645DF">
      <w:pPr>
        <w:rPr>
          <w:rFonts w:ascii="Arial" w:hAnsi="Arial" w:cs="Arial"/>
          <w:sz w:val="20"/>
          <w:szCs w:val="20"/>
        </w:rPr>
      </w:pPr>
    </w:p>
    <w:p w:rsidR="008645DF" w:rsidRPr="005935A4" w:rsidRDefault="008645DF" w:rsidP="00D9648F">
      <w:pPr>
        <w:jc w:val="center"/>
        <w:rPr>
          <w:rFonts w:ascii="Arial" w:hAnsi="Arial" w:cs="Arial"/>
          <w:sz w:val="20"/>
          <w:szCs w:val="20"/>
        </w:rPr>
      </w:pPr>
      <w:r w:rsidRPr="005935A4">
        <w:rPr>
          <w:rFonts w:ascii="Arial" w:hAnsi="Arial" w:cs="Arial"/>
          <w:noProof/>
          <w:sz w:val="20"/>
          <w:szCs w:val="20"/>
          <w:lang w:eastAsia="fr-FR"/>
        </w:rPr>
        <w:lastRenderedPageBreak/>
        <w:drawing>
          <wp:inline distT="0" distB="0" distL="0" distR="0">
            <wp:extent cx="6330315" cy="3112770"/>
            <wp:effectExtent l="19050" t="0" r="0" b="0"/>
            <wp:docPr id="11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srcRect/>
                    <a:stretch>
                      <a:fillRect/>
                    </a:stretch>
                  </pic:blipFill>
                  <pic:spPr bwMode="auto">
                    <a:xfrm>
                      <a:off x="0" y="0"/>
                      <a:ext cx="6330315" cy="3112770"/>
                    </a:xfrm>
                    <a:prstGeom prst="rect">
                      <a:avLst/>
                    </a:prstGeom>
                    <a:noFill/>
                    <a:ln w="9525">
                      <a:noFill/>
                      <a:miter lim="800000"/>
                      <a:headEnd/>
                      <a:tailEnd/>
                    </a:ln>
                  </pic:spPr>
                </pic:pic>
              </a:graphicData>
            </a:graphic>
          </wp:inline>
        </w:drawing>
      </w:r>
    </w:p>
    <w:p w:rsidR="008645DF" w:rsidRPr="005935A4" w:rsidRDefault="008645DF" w:rsidP="00D9648F">
      <w:pPr>
        <w:jc w:val="center"/>
        <w:rPr>
          <w:rFonts w:ascii="Arial" w:hAnsi="Arial" w:cs="Arial"/>
          <w:sz w:val="20"/>
          <w:szCs w:val="20"/>
        </w:rPr>
      </w:pPr>
      <w:r w:rsidRPr="005935A4">
        <w:rPr>
          <w:rFonts w:ascii="Arial" w:hAnsi="Arial" w:cs="Arial"/>
          <w:noProof/>
          <w:sz w:val="20"/>
          <w:szCs w:val="20"/>
          <w:lang w:eastAsia="fr-FR"/>
        </w:rPr>
        <w:drawing>
          <wp:inline distT="0" distB="0" distL="0" distR="0">
            <wp:extent cx="6339205" cy="2962910"/>
            <wp:effectExtent l="19050" t="0" r="4445" b="0"/>
            <wp:docPr id="10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srcRect/>
                    <a:stretch>
                      <a:fillRect/>
                    </a:stretch>
                  </pic:blipFill>
                  <pic:spPr bwMode="auto">
                    <a:xfrm>
                      <a:off x="0" y="0"/>
                      <a:ext cx="6339205" cy="2962910"/>
                    </a:xfrm>
                    <a:prstGeom prst="rect">
                      <a:avLst/>
                    </a:prstGeom>
                    <a:noFill/>
                    <a:ln w="9525">
                      <a:noFill/>
                      <a:miter lim="800000"/>
                      <a:headEnd/>
                      <a:tailEnd/>
                    </a:ln>
                  </pic:spPr>
                </pic:pic>
              </a:graphicData>
            </a:graphic>
          </wp:inline>
        </w:drawing>
      </w:r>
    </w:p>
    <w:p w:rsidR="008645DF" w:rsidRDefault="008645DF" w:rsidP="00D9648F">
      <w:pPr>
        <w:jc w:val="center"/>
        <w:rPr>
          <w:rFonts w:ascii="Arial" w:hAnsi="Arial" w:cs="Arial"/>
          <w:sz w:val="20"/>
          <w:szCs w:val="20"/>
        </w:rPr>
      </w:pPr>
      <w:r w:rsidRPr="005935A4">
        <w:rPr>
          <w:rFonts w:ascii="Arial" w:hAnsi="Arial" w:cs="Arial"/>
          <w:noProof/>
          <w:sz w:val="20"/>
          <w:szCs w:val="20"/>
          <w:lang w:eastAsia="fr-FR"/>
        </w:rPr>
        <w:drawing>
          <wp:inline distT="0" distB="0" distL="0" distR="0">
            <wp:extent cx="6330315" cy="3059430"/>
            <wp:effectExtent l="19050" t="0" r="0" b="0"/>
            <wp:docPr id="10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srcRect/>
                    <a:stretch>
                      <a:fillRect/>
                    </a:stretch>
                  </pic:blipFill>
                  <pic:spPr bwMode="auto">
                    <a:xfrm>
                      <a:off x="0" y="0"/>
                      <a:ext cx="6330315" cy="3059430"/>
                    </a:xfrm>
                    <a:prstGeom prst="rect">
                      <a:avLst/>
                    </a:prstGeom>
                    <a:noFill/>
                    <a:ln w="9525">
                      <a:noFill/>
                      <a:miter lim="800000"/>
                      <a:headEnd/>
                      <a:tailEnd/>
                    </a:ln>
                  </pic:spPr>
                </pic:pic>
              </a:graphicData>
            </a:graphic>
          </wp:inline>
        </w:drawing>
      </w:r>
    </w:p>
    <w:p w:rsidR="008645DF" w:rsidRPr="005935A4" w:rsidRDefault="008645DF" w:rsidP="008645DF">
      <w:pPr>
        <w:rPr>
          <w:rFonts w:ascii="Arial" w:hAnsi="Arial" w:cs="Arial"/>
          <w:sz w:val="20"/>
          <w:szCs w:val="20"/>
        </w:rPr>
      </w:pPr>
    </w:p>
    <w:p w:rsidR="008645DF" w:rsidRPr="005935A4" w:rsidRDefault="008645DF" w:rsidP="00D9648F">
      <w:pPr>
        <w:jc w:val="center"/>
        <w:rPr>
          <w:rFonts w:ascii="Arial" w:hAnsi="Arial" w:cs="Arial"/>
          <w:sz w:val="20"/>
          <w:szCs w:val="20"/>
        </w:rPr>
      </w:pPr>
      <w:r w:rsidRPr="005935A4">
        <w:rPr>
          <w:rFonts w:ascii="Arial" w:hAnsi="Arial" w:cs="Arial"/>
          <w:noProof/>
          <w:sz w:val="20"/>
          <w:szCs w:val="20"/>
          <w:lang w:eastAsia="fr-FR"/>
        </w:rPr>
        <w:drawing>
          <wp:inline distT="0" distB="0" distL="0" distR="0">
            <wp:extent cx="6256796" cy="2902767"/>
            <wp:effectExtent l="19050" t="0" r="0" b="0"/>
            <wp:docPr id="10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srcRect/>
                    <a:stretch>
                      <a:fillRect/>
                    </a:stretch>
                  </pic:blipFill>
                  <pic:spPr bwMode="auto">
                    <a:xfrm>
                      <a:off x="0" y="0"/>
                      <a:ext cx="6263567" cy="2905909"/>
                    </a:xfrm>
                    <a:prstGeom prst="rect">
                      <a:avLst/>
                    </a:prstGeom>
                    <a:noFill/>
                    <a:ln w="9525">
                      <a:noFill/>
                      <a:miter lim="800000"/>
                      <a:headEnd/>
                      <a:tailEnd/>
                    </a:ln>
                  </pic:spPr>
                </pic:pic>
              </a:graphicData>
            </a:graphic>
          </wp:inline>
        </w:drawing>
      </w:r>
    </w:p>
    <w:p w:rsidR="008645DF" w:rsidRPr="005935A4" w:rsidRDefault="008645DF" w:rsidP="00D9648F">
      <w:pPr>
        <w:jc w:val="center"/>
        <w:rPr>
          <w:rFonts w:ascii="Arial" w:hAnsi="Arial" w:cs="Arial"/>
          <w:sz w:val="20"/>
          <w:szCs w:val="20"/>
        </w:rPr>
      </w:pPr>
      <w:r w:rsidRPr="005935A4">
        <w:rPr>
          <w:rFonts w:ascii="Arial" w:hAnsi="Arial" w:cs="Arial"/>
          <w:noProof/>
          <w:sz w:val="20"/>
          <w:szCs w:val="20"/>
          <w:lang w:eastAsia="fr-FR"/>
        </w:rPr>
        <w:drawing>
          <wp:inline distT="0" distB="0" distL="0" distR="0">
            <wp:extent cx="6334125" cy="2924175"/>
            <wp:effectExtent l="19050" t="0" r="9525" b="0"/>
            <wp:docPr id="1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a:stretch>
                      <a:fillRect/>
                    </a:stretch>
                  </pic:blipFill>
                  <pic:spPr bwMode="auto">
                    <a:xfrm>
                      <a:off x="0" y="0"/>
                      <a:ext cx="6334125" cy="2924175"/>
                    </a:xfrm>
                    <a:prstGeom prst="rect">
                      <a:avLst/>
                    </a:prstGeom>
                    <a:noFill/>
                    <a:ln w="9525">
                      <a:noFill/>
                      <a:miter lim="800000"/>
                      <a:headEnd/>
                      <a:tailEnd/>
                    </a:ln>
                  </pic:spPr>
                </pic:pic>
              </a:graphicData>
            </a:graphic>
          </wp:inline>
        </w:drawing>
      </w:r>
    </w:p>
    <w:p w:rsidR="008645DF" w:rsidRPr="005935A4" w:rsidRDefault="008645DF" w:rsidP="00D9648F">
      <w:pPr>
        <w:ind w:left="0" w:firstLine="0"/>
        <w:jc w:val="center"/>
        <w:rPr>
          <w:rFonts w:ascii="Arial" w:hAnsi="Arial" w:cs="Arial"/>
          <w:sz w:val="20"/>
          <w:szCs w:val="20"/>
        </w:rPr>
      </w:pPr>
      <w:r w:rsidRPr="005935A4">
        <w:rPr>
          <w:rFonts w:ascii="Arial" w:hAnsi="Arial" w:cs="Arial"/>
          <w:noProof/>
          <w:sz w:val="20"/>
          <w:szCs w:val="20"/>
          <w:lang w:eastAsia="fr-FR"/>
        </w:rPr>
        <w:drawing>
          <wp:inline distT="0" distB="0" distL="0" distR="0">
            <wp:extent cx="6119495" cy="3033395"/>
            <wp:effectExtent l="19050" t="0" r="0" b="0"/>
            <wp:docPr id="17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srcRect/>
                    <a:stretch>
                      <a:fillRect/>
                    </a:stretch>
                  </pic:blipFill>
                  <pic:spPr bwMode="auto">
                    <a:xfrm>
                      <a:off x="0" y="0"/>
                      <a:ext cx="6119495" cy="3033395"/>
                    </a:xfrm>
                    <a:prstGeom prst="rect">
                      <a:avLst/>
                    </a:prstGeom>
                    <a:noFill/>
                    <a:ln w="9525">
                      <a:noFill/>
                      <a:miter lim="800000"/>
                      <a:headEnd/>
                      <a:tailEnd/>
                    </a:ln>
                  </pic:spPr>
                </pic:pic>
              </a:graphicData>
            </a:graphic>
          </wp:inline>
        </w:drawing>
      </w:r>
    </w:p>
    <w:p w:rsidR="008645DF" w:rsidRPr="005935A4" w:rsidRDefault="008645DF" w:rsidP="00D9648F">
      <w:pPr>
        <w:ind w:left="0" w:firstLine="0"/>
        <w:jc w:val="center"/>
        <w:rPr>
          <w:rFonts w:ascii="Arial" w:hAnsi="Arial" w:cs="Arial"/>
          <w:sz w:val="20"/>
          <w:szCs w:val="20"/>
        </w:rPr>
      </w:pPr>
      <w:r w:rsidRPr="005935A4">
        <w:rPr>
          <w:rFonts w:ascii="Arial" w:hAnsi="Arial" w:cs="Arial"/>
          <w:noProof/>
          <w:sz w:val="20"/>
          <w:szCs w:val="20"/>
          <w:lang w:eastAsia="fr-FR"/>
        </w:rPr>
        <w:lastRenderedPageBreak/>
        <w:drawing>
          <wp:inline distT="0" distB="0" distL="0" distR="0">
            <wp:extent cx="6119495" cy="2980690"/>
            <wp:effectExtent l="19050" t="0" r="0" b="0"/>
            <wp:docPr id="17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srcRect/>
                    <a:stretch>
                      <a:fillRect/>
                    </a:stretch>
                  </pic:blipFill>
                  <pic:spPr bwMode="auto">
                    <a:xfrm>
                      <a:off x="0" y="0"/>
                      <a:ext cx="6119495" cy="2980690"/>
                    </a:xfrm>
                    <a:prstGeom prst="rect">
                      <a:avLst/>
                    </a:prstGeom>
                    <a:noFill/>
                    <a:ln w="9525">
                      <a:noFill/>
                      <a:miter lim="800000"/>
                      <a:headEnd/>
                      <a:tailEnd/>
                    </a:ln>
                  </pic:spPr>
                </pic:pic>
              </a:graphicData>
            </a:graphic>
          </wp:inline>
        </w:drawing>
      </w:r>
      <w:r w:rsidRPr="005935A4">
        <w:rPr>
          <w:rFonts w:ascii="Arial" w:hAnsi="Arial" w:cs="Arial"/>
          <w:noProof/>
          <w:sz w:val="20"/>
          <w:szCs w:val="20"/>
          <w:lang w:eastAsia="fr-FR"/>
        </w:rPr>
        <w:drawing>
          <wp:inline distT="0" distB="0" distL="0" distR="0">
            <wp:extent cx="6251575" cy="2884170"/>
            <wp:effectExtent l="19050" t="0" r="0" b="0"/>
            <wp:docPr id="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6251575" cy="2884170"/>
                    </a:xfrm>
                    <a:prstGeom prst="rect">
                      <a:avLst/>
                    </a:prstGeom>
                    <a:noFill/>
                    <a:ln w="9525">
                      <a:noFill/>
                      <a:miter lim="800000"/>
                      <a:headEnd/>
                      <a:tailEnd/>
                    </a:ln>
                  </pic:spPr>
                </pic:pic>
              </a:graphicData>
            </a:graphic>
          </wp:inline>
        </w:drawing>
      </w:r>
      <w:r w:rsidRPr="005935A4">
        <w:rPr>
          <w:rFonts w:ascii="Arial" w:hAnsi="Arial" w:cs="Arial"/>
          <w:noProof/>
          <w:sz w:val="20"/>
          <w:szCs w:val="20"/>
          <w:lang w:eastAsia="fr-FR"/>
        </w:rPr>
        <w:drawing>
          <wp:inline distT="0" distB="0" distL="0" distR="0">
            <wp:extent cx="6259830" cy="3015615"/>
            <wp:effectExtent l="19050" t="0" r="7620" b="0"/>
            <wp:docPr id="7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srcRect/>
                    <a:stretch>
                      <a:fillRect/>
                    </a:stretch>
                  </pic:blipFill>
                  <pic:spPr bwMode="auto">
                    <a:xfrm>
                      <a:off x="0" y="0"/>
                      <a:ext cx="6259830" cy="3015615"/>
                    </a:xfrm>
                    <a:prstGeom prst="rect">
                      <a:avLst/>
                    </a:prstGeom>
                    <a:noFill/>
                    <a:ln w="9525">
                      <a:noFill/>
                      <a:miter lim="800000"/>
                      <a:headEnd/>
                      <a:tailEnd/>
                    </a:ln>
                  </pic:spPr>
                </pic:pic>
              </a:graphicData>
            </a:graphic>
          </wp:inline>
        </w:drawing>
      </w:r>
    </w:p>
    <w:p w:rsidR="008645DF" w:rsidRPr="005935A4" w:rsidRDefault="008645DF" w:rsidP="008645DF">
      <w:pPr>
        <w:rPr>
          <w:rFonts w:ascii="Arial" w:hAnsi="Arial" w:cs="Arial"/>
          <w:sz w:val="20"/>
          <w:szCs w:val="20"/>
        </w:rPr>
      </w:pPr>
      <w:r w:rsidRPr="005935A4">
        <w:rPr>
          <w:rFonts w:ascii="Arial" w:hAnsi="Arial" w:cs="Arial"/>
          <w:sz w:val="20"/>
          <w:szCs w:val="20"/>
        </w:rPr>
        <w:t>ANAST : Association nationale animaux sous tension</w:t>
      </w:r>
    </w:p>
    <w:p w:rsidR="008645DF" w:rsidRPr="005935A4" w:rsidRDefault="008645DF" w:rsidP="00D9648F">
      <w:pPr>
        <w:ind w:left="0" w:firstLine="0"/>
        <w:jc w:val="center"/>
        <w:rPr>
          <w:rFonts w:ascii="Arial" w:hAnsi="Arial" w:cs="Arial"/>
          <w:sz w:val="20"/>
          <w:szCs w:val="20"/>
        </w:rPr>
      </w:pPr>
      <w:r w:rsidRPr="005935A4">
        <w:rPr>
          <w:rFonts w:ascii="Arial" w:hAnsi="Arial" w:cs="Arial"/>
          <w:noProof/>
          <w:sz w:val="20"/>
          <w:szCs w:val="20"/>
          <w:lang w:eastAsia="fr-FR"/>
        </w:rPr>
        <w:lastRenderedPageBreak/>
        <w:drawing>
          <wp:inline distT="0" distB="0" distL="0" distR="0">
            <wp:extent cx="6259830" cy="2971800"/>
            <wp:effectExtent l="19050" t="0" r="7620" b="0"/>
            <wp:docPr id="7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srcRect/>
                    <a:stretch>
                      <a:fillRect/>
                    </a:stretch>
                  </pic:blipFill>
                  <pic:spPr bwMode="auto">
                    <a:xfrm>
                      <a:off x="0" y="0"/>
                      <a:ext cx="6259830" cy="2971800"/>
                    </a:xfrm>
                    <a:prstGeom prst="rect">
                      <a:avLst/>
                    </a:prstGeom>
                    <a:noFill/>
                    <a:ln w="9525">
                      <a:noFill/>
                      <a:miter lim="800000"/>
                      <a:headEnd/>
                      <a:tailEnd/>
                    </a:ln>
                  </pic:spPr>
                </pic:pic>
              </a:graphicData>
            </a:graphic>
          </wp:inline>
        </w:drawing>
      </w:r>
    </w:p>
    <w:p w:rsidR="008645DF" w:rsidRPr="005935A4" w:rsidRDefault="008645DF" w:rsidP="00D9648F">
      <w:pPr>
        <w:ind w:left="0" w:firstLine="0"/>
        <w:jc w:val="center"/>
        <w:rPr>
          <w:rFonts w:ascii="Arial" w:hAnsi="Arial" w:cs="Arial"/>
          <w:sz w:val="20"/>
          <w:szCs w:val="20"/>
        </w:rPr>
      </w:pPr>
      <w:r w:rsidRPr="005935A4">
        <w:rPr>
          <w:rFonts w:ascii="Arial" w:hAnsi="Arial" w:cs="Arial"/>
          <w:noProof/>
          <w:sz w:val="20"/>
          <w:szCs w:val="20"/>
          <w:lang w:eastAsia="fr-FR"/>
        </w:rPr>
        <w:drawing>
          <wp:inline distT="0" distB="0" distL="0" distR="0">
            <wp:extent cx="6251575" cy="2901315"/>
            <wp:effectExtent l="19050" t="0" r="0" b="0"/>
            <wp:docPr id="7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srcRect/>
                    <a:stretch>
                      <a:fillRect/>
                    </a:stretch>
                  </pic:blipFill>
                  <pic:spPr bwMode="auto">
                    <a:xfrm>
                      <a:off x="0" y="0"/>
                      <a:ext cx="6251575" cy="2901315"/>
                    </a:xfrm>
                    <a:prstGeom prst="rect">
                      <a:avLst/>
                    </a:prstGeom>
                    <a:noFill/>
                    <a:ln w="9525">
                      <a:noFill/>
                      <a:miter lim="800000"/>
                      <a:headEnd/>
                      <a:tailEnd/>
                    </a:ln>
                  </pic:spPr>
                </pic:pic>
              </a:graphicData>
            </a:graphic>
          </wp:inline>
        </w:drawing>
      </w:r>
    </w:p>
    <w:p w:rsidR="008645DF" w:rsidRPr="005935A4" w:rsidRDefault="008645DF" w:rsidP="00D9648F">
      <w:pPr>
        <w:ind w:left="0" w:firstLine="0"/>
        <w:jc w:val="center"/>
        <w:rPr>
          <w:rFonts w:ascii="Arial" w:hAnsi="Arial" w:cs="Arial"/>
          <w:sz w:val="20"/>
          <w:szCs w:val="20"/>
        </w:rPr>
      </w:pPr>
      <w:r w:rsidRPr="005935A4">
        <w:rPr>
          <w:rFonts w:ascii="Arial" w:hAnsi="Arial" w:cs="Arial"/>
          <w:noProof/>
          <w:sz w:val="20"/>
          <w:szCs w:val="20"/>
          <w:lang w:eastAsia="fr-FR"/>
        </w:rPr>
        <w:drawing>
          <wp:inline distT="0" distB="0" distL="0" distR="0">
            <wp:extent cx="6330315" cy="2875280"/>
            <wp:effectExtent l="19050" t="0" r="0" b="0"/>
            <wp:docPr id="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srcRect/>
                    <a:stretch>
                      <a:fillRect/>
                    </a:stretch>
                  </pic:blipFill>
                  <pic:spPr bwMode="auto">
                    <a:xfrm>
                      <a:off x="0" y="0"/>
                      <a:ext cx="6330315" cy="2875280"/>
                    </a:xfrm>
                    <a:prstGeom prst="rect">
                      <a:avLst/>
                    </a:prstGeom>
                    <a:noFill/>
                    <a:ln w="9525">
                      <a:noFill/>
                      <a:miter lim="800000"/>
                      <a:headEnd/>
                      <a:tailEnd/>
                    </a:ln>
                  </pic:spPr>
                </pic:pic>
              </a:graphicData>
            </a:graphic>
          </wp:inline>
        </w:drawing>
      </w:r>
    </w:p>
    <w:p w:rsidR="008645DF" w:rsidRDefault="008645DF" w:rsidP="00D9648F">
      <w:pPr>
        <w:ind w:left="0" w:firstLine="0"/>
        <w:jc w:val="center"/>
        <w:rPr>
          <w:rFonts w:ascii="Arial" w:hAnsi="Arial" w:cs="Arial"/>
          <w:sz w:val="20"/>
          <w:szCs w:val="20"/>
        </w:rPr>
      </w:pPr>
      <w:r w:rsidRPr="005935A4">
        <w:rPr>
          <w:rFonts w:ascii="Arial" w:hAnsi="Arial" w:cs="Arial"/>
          <w:noProof/>
          <w:sz w:val="20"/>
          <w:szCs w:val="20"/>
          <w:lang w:eastAsia="fr-FR"/>
        </w:rPr>
        <w:lastRenderedPageBreak/>
        <w:drawing>
          <wp:inline distT="0" distB="0" distL="0" distR="0">
            <wp:extent cx="6330315" cy="2989580"/>
            <wp:effectExtent l="19050" t="0" r="0" b="0"/>
            <wp:docPr id="11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srcRect/>
                    <a:stretch>
                      <a:fillRect/>
                    </a:stretch>
                  </pic:blipFill>
                  <pic:spPr bwMode="auto">
                    <a:xfrm>
                      <a:off x="0" y="0"/>
                      <a:ext cx="6330315" cy="2989580"/>
                    </a:xfrm>
                    <a:prstGeom prst="rect">
                      <a:avLst/>
                    </a:prstGeom>
                    <a:noFill/>
                    <a:ln w="9525">
                      <a:noFill/>
                      <a:miter lim="800000"/>
                      <a:headEnd/>
                      <a:tailEnd/>
                    </a:ln>
                  </pic:spPr>
                </pic:pic>
              </a:graphicData>
            </a:graphic>
          </wp:inline>
        </w:drawing>
      </w:r>
    </w:p>
    <w:p w:rsidR="008645DF" w:rsidRPr="005935A4" w:rsidRDefault="008645DF" w:rsidP="008645DF">
      <w:pPr>
        <w:rPr>
          <w:rFonts w:ascii="Arial" w:hAnsi="Arial" w:cs="Arial"/>
          <w:sz w:val="20"/>
          <w:szCs w:val="20"/>
        </w:rPr>
      </w:pPr>
    </w:p>
    <w:p w:rsidR="008645DF" w:rsidRPr="005935A4" w:rsidRDefault="008645DF" w:rsidP="00D9648F">
      <w:pPr>
        <w:ind w:left="0" w:firstLine="0"/>
        <w:jc w:val="center"/>
        <w:rPr>
          <w:rFonts w:ascii="Arial" w:hAnsi="Arial" w:cs="Arial"/>
          <w:sz w:val="20"/>
          <w:szCs w:val="20"/>
        </w:rPr>
      </w:pPr>
      <w:r w:rsidRPr="005935A4">
        <w:rPr>
          <w:rFonts w:ascii="Arial" w:hAnsi="Arial" w:cs="Arial"/>
          <w:noProof/>
          <w:sz w:val="20"/>
          <w:szCs w:val="20"/>
          <w:lang w:eastAsia="fr-FR"/>
        </w:rPr>
        <w:drawing>
          <wp:inline distT="0" distB="0" distL="0" distR="0">
            <wp:extent cx="6330315" cy="3156585"/>
            <wp:effectExtent l="19050" t="0" r="0" b="0"/>
            <wp:docPr id="9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srcRect/>
                    <a:stretch>
                      <a:fillRect/>
                    </a:stretch>
                  </pic:blipFill>
                  <pic:spPr bwMode="auto">
                    <a:xfrm>
                      <a:off x="0" y="0"/>
                      <a:ext cx="6330315" cy="3156585"/>
                    </a:xfrm>
                    <a:prstGeom prst="rect">
                      <a:avLst/>
                    </a:prstGeom>
                    <a:noFill/>
                    <a:ln w="9525">
                      <a:noFill/>
                      <a:miter lim="800000"/>
                      <a:headEnd/>
                      <a:tailEnd/>
                    </a:ln>
                  </pic:spPr>
                </pic:pic>
              </a:graphicData>
            </a:graphic>
          </wp:inline>
        </w:drawing>
      </w:r>
    </w:p>
    <w:p w:rsidR="008645DF" w:rsidRPr="005935A4" w:rsidRDefault="008645DF" w:rsidP="00D9648F">
      <w:pPr>
        <w:jc w:val="center"/>
        <w:rPr>
          <w:rFonts w:ascii="Arial" w:hAnsi="Arial" w:cs="Arial"/>
          <w:sz w:val="20"/>
          <w:szCs w:val="20"/>
        </w:rPr>
      </w:pPr>
      <w:r w:rsidRPr="005935A4">
        <w:rPr>
          <w:rFonts w:ascii="Arial" w:hAnsi="Arial" w:cs="Arial"/>
          <w:noProof/>
          <w:sz w:val="20"/>
          <w:szCs w:val="20"/>
          <w:lang w:eastAsia="fr-FR"/>
        </w:rPr>
        <w:lastRenderedPageBreak/>
        <w:drawing>
          <wp:inline distT="0" distB="0" distL="0" distR="0">
            <wp:extent cx="6259830" cy="3094990"/>
            <wp:effectExtent l="19050" t="0" r="7620" b="0"/>
            <wp:docPr id="8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srcRect/>
                    <a:stretch>
                      <a:fillRect/>
                    </a:stretch>
                  </pic:blipFill>
                  <pic:spPr bwMode="auto">
                    <a:xfrm>
                      <a:off x="0" y="0"/>
                      <a:ext cx="6259830" cy="3094990"/>
                    </a:xfrm>
                    <a:prstGeom prst="rect">
                      <a:avLst/>
                    </a:prstGeom>
                    <a:noFill/>
                    <a:ln w="9525">
                      <a:noFill/>
                      <a:miter lim="800000"/>
                      <a:headEnd/>
                      <a:tailEnd/>
                    </a:ln>
                  </pic:spPr>
                </pic:pic>
              </a:graphicData>
            </a:graphic>
          </wp:inline>
        </w:drawing>
      </w:r>
    </w:p>
    <w:p w:rsidR="008645DF" w:rsidRPr="005935A4" w:rsidRDefault="008645DF" w:rsidP="008645DF">
      <w:pPr>
        <w:rPr>
          <w:rFonts w:ascii="Arial" w:hAnsi="Arial" w:cs="Arial"/>
          <w:sz w:val="20"/>
          <w:szCs w:val="20"/>
        </w:rPr>
      </w:pPr>
      <w:r w:rsidRPr="005935A4">
        <w:rPr>
          <w:rFonts w:ascii="Arial" w:hAnsi="Arial" w:cs="Arial"/>
          <w:noProof/>
          <w:sz w:val="20"/>
          <w:szCs w:val="20"/>
          <w:lang w:eastAsia="fr-FR"/>
        </w:rPr>
        <w:drawing>
          <wp:inline distT="0" distB="0" distL="0" distR="0">
            <wp:extent cx="6259830" cy="2927985"/>
            <wp:effectExtent l="19050" t="0" r="7620" b="0"/>
            <wp:docPr id="8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srcRect/>
                    <a:stretch>
                      <a:fillRect/>
                    </a:stretch>
                  </pic:blipFill>
                  <pic:spPr bwMode="auto">
                    <a:xfrm>
                      <a:off x="0" y="0"/>
                      <a:ext cx="6259830" cy="2927985"/>
                    </a:xfrm>
                    <a:prstGeom prst="rect">
                      <a:avLst/>
                    </a:prstGeom>
                    <a:noFill/>
                    <a:ln w="9525">
                      <a:noFill/>
                      <a:miter lim="800000"/>
                      <a:headEnd/>
                      <a:tailEnd/>
                    </a:ln>
                  </pic:spPr>
                </pic:pic>
              </a:graphicData>
            </a:graphic>
          </wp:inline>
        </w:drawing>
      </w:r>
    </w:p>
    <w:p w:rsidR="008645DF" w:rsidRPr="005935A4" w:rsidRDefault="008645DF" w:rsidP="008645DF">
      <w:pPr>
        <w:rPr>
          <w:rFonts w:ascii="Arial" w:hAnsi="Arial" w:cs="Arial"/>
          <w:sz w:val="20"/>
          <w:szCs w:val="20"/>
        </w:rPr>
      </w:pPr>
    </w:p>
    <w:p w:rsidR="008645DF" w:rsidRPr="005935A4" w:rsidRDefault="008645DF" w:rsidP="008645DF">
      <w:pPr>
        <w:rPr>
          <w:rFonts w:ascii="Arial" w:hAnsi="Arial" w:cs="Arial"/>
          <w:sz w:val="20"/>
          <w:szCs w:val="20"/>
        </w:rPr>
      </w:pPr>
      <w:r w:rsidRPr="005935A4">
        <w:rPr>
          <w:rFonts w:ascii="Arial" w:hAnsi="Arial" w:cs="Arial"/>
          <w:noProof/>
          <w:sz w:val="20"/>
          <w:szCs w:val="20"/>
          <w:lang w:eastAsia="fr-FR"/>
        </w:rPr>
        <w:drawing>
          <wp:inline distT="0" distB="0" distL="0" distR="0">
            <wp:extent cx="6251575" cy="2962910"/>
            <wp:effectExtent l="19050" t="0" r="0" b="0"/>
            <wp:docPr id="8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a:srcRect/>
                    <a:stretch>
                      <a:fillRect/>
                    </a:stretch>
                  </pic:blipFill>
                  <pic:spPr bwMode="auto">
                    <a:xfrm>
                      <a:off x="0" y="0"/>
                      <a:ext cx="6251575" cy="2962910"/>
                    </a:xfrm>
                    <a:prstGeom prst="rect">
                      <a:avLst/>
                    </a:prstGeom>
                    <a:noFill/>
                    <a:ln w="9525">
                      <a:noFill/>
                      <a:miter lim="800000"/>
                      <a:headEnd/>
                      <a:tailEnd/>
                    </a:ln>
                  </pic:spPr>
                </pic:pic>
              </a:graphicData>
            </a:graphic>
          </wp:inline>
        </w:drawing>
      </w:r>
    </w:p>
    <w:p w:rsidR="008645DF" w:rsidRPr="005935A4" w:rsidRDefault="008645DF" w:rsidP="00D9648F">
      <w:pPr>
        <w:ind w:left="0" w:firstLine="0"/>
        <w:jc w:val="center"/>
        <w:rPr>
          <w:rFonts w:ascii="Arial" w:hAnsi="Arial" w:cs="Arial"/>
          <w:sz w:val="20"/>
          <w:szCs w:val="20"/>
        </w:rPr>
      </w:pPr>
      <w:r w:rsidRPr="005935A4">
        <w:rPr>
          <w:rFonts w:ascii="Arial" w:hAnsi="Arial" w:cs="Arial"/>
          <w:noProof/>
          <w:sz w:val="20"/>
          <w:szCs w:val="20"/>
          <w:lang w:eastAsia="fr-FR"/>
        </w:rPr>
        <w:lastRenderedPageBreak/>
        <w:drawing>
          <wp:inline distT="0" distB="0" distL="0" distR="0">
            <wp:extent cx="6251575" cy="2954020"/>
            <wp:effectExtent l="19050" t="0" r="0" b="0"/>
            <wp:docPr id="89"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a:srcRect/>
                    <a:stretch>
                      <a:fillRect/>
                    </a:stretch>
                  </pic:blipFill>
                  <pic:spPr bwMode="auto">
                    <a:xfrm>
                      <a:off x="0" y="0"/>
                      <a:ext cx="6251575" cy="2954020"/>
                    </a:xfrm>
                    <a:prstGeom prst="rect">
                      <a:avLst/>
                    </a:prstGeom>
                    <a:noFill/>
                    <a:ln w="9525">
                      <a:noFill/>
                      <a:miter lim="800000"/>
                      <a:headEnd/>
                      <a:tailEnd/>
                    </a:ln>
                  </pic:spPr>
                </pic:pic>
              </a:graphicData>
            </a:graphic>
          </wp:inline>
        </w:drawing>
      </w:r>
    </w:p>
    <w:p w:rsidR="008645DF" w:rsidRPr="005935A4" w:rsidRDefault="008645DF" w:rsidP="008645DF">
      <w:pPr>
        <w:rPr>
          <w:rFonts w:ascii="Arial" w:hAnsi="Arial" w:cs="Arial"/>
          <w:sz w:val="20"/>
          <w:szCs w:val="20"/>
        </w:rPr>
      </w:pPr>
    </w:p>
    <w:p w:rsidR="008645DF" w:rsidRPr="005935A4" w:rsidRDefault="008645DF" w:rsidP="00D9648F">
      <w:pPr>
        <w:jc w:val="center"/>
        <w:rPr>
          <w:rFonts w:ascii="Arial" w:hAnsi="Arial" w:cs="Arial"/>
          <w:sz w:val="20"/>
          <w:szCs w:val="20"/>
        </w:rPr>
      </w:pPr>
      <w:r w:rsidRPr="005935A4">
        <w:rPr>
          <w:rFonts w:ascii="Arial" w:hAnsi="Arial" w:cs="Arial"/>
          <w:noProof/>
          <w:sz w:val="20"/>
          <w:szCs w:val="20"/>
          <w:lang w:eastAsia="fr-FR"/>
        </w:rPr>
        <w:drawing>
          <wp:inline distT="0" distB="0" distL="0" distR="0">
            <wp:extent cx="6330315" cy="2892425"/>
            <wp:effectExtent l="19050" t="0" r="0" b="0"/>
            <wp:docPr id="11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srcRect/>
                    <a:stretch>
                      <a:fillRect/>
                    </a:stretch>
                  </pic:blipFill>
                  <pic:spPr bwMode="auto">
                    <a:xfrm>
                      <a:off x="0" y="0"/>
                      <a:ext cx="6330315" cy="2892425"/>
                    </a:xfrm>
                    <a:prstGeom prst="rect">
                      <a:avLst/>
                    </a:prstGeom>
                    <a:noFill/>
                    <a:ln w="9525">
                      <a:noFill/>
                      <a:miter lim="800000"/>
                      <a:headEnd/>
                      <a:tailEnd/>
                    </a:ln>
                  </pic:spPr>
                </pic:pic>
              </a:graphicData>
            </a:graphic>
          </wp:inline>
        </w:drawing>
      </w:r>
    </w:p>
    <w:p w:rsidR="008645DF" w:rsidRPr="005935A4" w:rsidRDefault="008645DF" w:rsidP="008645DF">
      <w:pPr>
        <w:rPr>
          <w:rFonts w:ascii="Arial" w:hAnsi="Arial" w:cs="Arial"/>
          <w:sz w:val="20"/>
          <w:szCs w:val="20"/>
        </w:rPr>
      </w:pPr>
    </w:p>
    <w:p w:rsidR="008645DF" w:rsidRPr="005935A4" w:rsidRDefault="008645DF" w:rsidP="008645DF">
      <w:pPr>
        <w:rPr>
          <w:rFonts w:ascii="Arial" w:hAnsi="Arial" w:cs="Arial"/>
          <w:sz w:val="20"/>
          <w:szCs w:val="20"/>
        </w:rPr>
      </w:pPr>
      <w:r w:rsidRPr="005935A4">
        <w:rPr>
          <w:rFonts w:ascii="Arial" w:hAnsi="Arial" w:cs="Arial"/>
          <w:noProof/>
          <w:sz w:val="20"/>
          <w:szCs w:val="20"/>
          <w:lang w:eastAsia="fr-FR"/>
        </w:rPr>
        <w:drawing>
          <wp:inline distT="0" distB="0" distL="0" distR="0">
            <wp:extent cx="6330315" cy="2989580"/>
            <wp:effectExtent l="19050" t="0" r="0" b="0"/>
            <wp:docPr id="12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srcRect/>
                    <a:stretch>
                      <a:fillRect/>
                    </a:stretch>
                  </pic:blipFill>
                  <pic:spPr bwMode="auto">
                    <a:xfrm>
                      <a:off x="0" y="0"/>
                      <a:ext cx="6330315" cy="2989580"/>
                    </a:xfrm>
                    <a:prstGeom prst="rect">
                      <a:avLst/>
                    </a:prstGeom>
                    <a:noFill/>
                    <a:ln w="9525">
                      <a:noFill/>
                      <a:miter lim="800000"/>
                      <a:headEnd/>
                      <a:tailEnd/>
                    </a:ln>
                  </pic:spPr>
                </pic:pic>
              </a:graphicData>
            </a:graphic>
          </wp:inline>
        </w:drawing>
      </w:r>
    </w:p>
    <w:p w:rsidR="008645DF" w:rsidRPr="005935A4" w:rsidRDefault="008645DF" w:rsidP="008645DF">
      <w:pPr>
        <w:rPr>
          <w:rFonts w:ascii="Arial" w:hAnsi="Arial" w:cs="Arial"/>
          <w:sz w:val="20"/>
          <w:szCs w:val="20"/>
        </w:rPr>
      </w:pPr>
    </w:p>
    <w:p w:rsidR="008645DF" w:rsidRPr="005935A4" w:rsidRDefault="008645DF" w:rsidP="008645DF">
      <w:pPr>
        <w:rPr>
          <w:rFonts w:ascii="Arial" w:hAnsi="Arial" w:cs="Arial"/>
          <w:sz w:val="20"/>
          <w:szCs w:val="20"/>
        </w:rPr>
      </w:pPr>
      <w:r w:rsidRPr="005935A4">
        <w:rPr>
          <w:rFonts w:ascii="Arial" w:hAnsi="Arial" w:cs="Arial"/>
          <w:noProof/>
          <w:sz w:val="20"/>
          <w:szCs w:val="20"/>
          <w:lang w:eastAsia="fr-FR"/>
        </w:rPr>
        <w:drawing>
          <wp:inline distT="0" distB="0" distL="0" distR="0">
            <wp:extent cx="6339205" cy="3059430"/>
            <wp:effectExtent l="19050" t="0" r="4445" b="0"/>
            <wp:docPr id="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srcRect/>
                    <a:stretch>
                      <a:fillRect/>
                    </a:stretch>
                  </pic:blipFill>
                  <pic:spPr bwMode="auto">
                    <a:xfrm>
                      <a:off x="0" y="0"/>
                      <a:ext cx="6339205" cy="3059430"/>
                    </a:xfrm>
                    <a:prstGeom prst="rect">
                      <a:avLst/>
                    </a:prstGeom>
                    <a:noFill/>
                    <a:ln w="9525">
                      <a:noFill/>
                      <a:miter lim="800000"/>
                      <a:headEnd/>
                      <a:tailEnd/>
                    </a:ln>
                  </pic:spPr>
                </pic:pic>
              </a:graphicData>
            </a:graphic>
          </wp:inline>
        </w:drawing>
      </w:r>
    </w:p>
    <w:p w:rsidR="008645DF" w:rsidRPr="005935A4" w:rsidRDefault="008645DF" w:rsidP="008645DF">
      <w:pPr>
        <w:rPr>
          <w:rFonts w:ascii="Arial" w:hAnsi="Arial" w:cs="Arial"/>
          <w:sz w:val="20"/>
          <w:szCs w:val="20"/>
        </w:rPr>
      </w:pPr>
    </w:p>
    <w:p w:rsidR="008645DF" w:rsidRDefault="008645DF" w:rsidP="008645DF">
      <w:pPr>
        <w:rPr>
          <w:rFonts w:ascii="Arial" w:hAnsi="Arial" w:cs="Arial"/>
          <w:sz w:val="20"/>
          <w:szCs w:val="20"/>
        </w:rPr>
      </w:pPr>
      <w:r w:rsidRPr="00E53AB6">
        <w:rPr>
          <w:rFonts w:ascii="Arial" w:hAnsi="Arial" w:cs="Arial"/>
          <w:sz w:val="20"/>
          <w:szCs w:val="20"/>
        </w:rPr>
        <w:t>Aux USA, la téléphonie mobile n’est devenue</w:t>
      </w:r>
      <w:r>
        <w:rPr>
          <w:rFonts w:ascii="Arial" w:hAnsi="Arial" w:cs="Arial"/>
          <w:sz w:val="20"/>
          <w:szCs w:val="20"/>
        </w:rPr>
        <w:t xml:space="preserve"> accessible au grand public </w:t>
      </w:r>
      <w:r w:rsidRPr="00E53AB6">
        <w:rPr>
          <w:rFonts w:ascii="Arial" w:hAnsi="Arial" w:cs="Arial"/>
          <w:sz w:val="20"/>
          <w:szCs w:val="20"/>
        </w:rPr>
        <w:t>qu’au début des années 1980.</w:t>
      </w:r>
    </w:p>
    <w:p w:rsidR="008645DF" w:rsidRDefault="008645DF" w:rsidP="008645DF">
      <w:pPr>
        <w:rPr>
          <w:rFonts w:ascii="Arial" w:hAnsi="Arial" w:cs="Arial"/>
          <w:sz w:val="20"/>
          <w:szCs w:val="20"/>
        </w:rPr>
      </w:pPr>
    </w:p>
    <w:p w:rsidR="008645DF" w:rsidRDefault="008645DF" w:rsidP="008645DF">
      <w:pPr>
        <w:rPr>
          <w:rFonts w:ascii="Arial" w:hAnsi="Arial" w:cs="Arial"/>
          <w:sz w:val="20"/>
          <w:szCs w:val="20"/>
        </w:rPr>
      </w:pPr>
    </w:p>
    <w:p w:rsidR="008645DF" w:rsidRDefault="008645DF" w:rsidP="008645DF">
      <w:pPr>
        <w:rPr>
          <w:rFonts w:ascii="Arial" w:hAnsi="Arial" w:cs="Arial"/>
          <w:sz w:val="20"/>
          <w:szCs w:val="20"/>
        </w:rPr>
      </w:pPr>
    </w:p>
    <w:p w:rsidR="008645DF" w:rsidRDefault="008645DF" w:rsidP="008645DF">
      <w:pPr>
        <w:rPr>
          <w:rFonts w:ascii="Arial" w:hAnsi="Arial" w:cs="Arial"/>
          <w:sz w:val="20"/>
          <w:szCs w:val="20"/>
        </w:rPr>
      </w:pPr>
    </w:p>
    <w:p w:rsidR="008645DF" w:rsidRPr="00E53AB6" w:rsidRDefault="008645DF" w:rsidP="008645DF">
      <w:pPr>
        <w:rPr>
          <w:rFonts w:ascii="Arial" w:hAnsi="Arial" w:cs="Arial"/>
          <w:sz w:val="20"/>
          <w:szCs w:val="20"/>
        </w:rPr>
      </w:pPr>
    </w:p>
    <w:p w:rsidR="008645DF" w:rsidRDefault="008645DF" w:rsidP="009F3BB0">
      <w:pPr>
        <w:pStyle w:val="Paragraphedeliste"/>
        <w:numPr>
          <w:ilvl w:val="0"/>
          <w:numId w:val="20"/>
        </w:numPr>
        <w:spacing w:after="200" w:line="276" w:lineRule="auto"/>
        <w:jc w:val="left"/>
        <w:rPr>
          <w:rStyle w:val="relative"/>
          <w:rFonts w:ascii="Arial" w:hAnsi="Arial" w:cs="Arial"/>
          <w:sz w:val="20"/>
          <w:szCs w:val="20"/>
        </w:rPr>
      </w:pPr>
      <w:r w:rsidRPr="00E53AB6">
        <w:rPr>
          <w:rStyle w:val="relative"/>
          <w:rFonts w:ascii="Arial" w:hAnsi="Arial" w:cs="Arial"/>
          <w:sz w:val="20"/>
          <w:szCs w:val="20"/>
        </w:rPr>
        <w:t xml:space="preserve">Tableau comparatif des </w:t>
      </w:r>
      <w:r w:rsidRPr="00D9648F">
        <w:rPr>
          <w:rStyle w:val="lev"/>
          <w:rFonts w:ascii="Arial" w:hAnsi="Arial" w:cs="Arial"/>
          <w:b w:val="0"/>
          <w:sz w:val="20"/>
          <w:szCs w:val="20"/>
        </w:rPr>
        <w:t>seuils réglementaires d'exposition du public aux radiofréquences</w:t>
      </w:r>
      <w:r w:rsidRPr="00E53AB6">
        <w:rPr>
          <w:rStyle w:val="relative"/>
          <w:rFonts w:ascii="Arial" w:hAnsi="Arial" w:cs="Arial"/>
          <w:sz w:val="20"/>
          <w:szCs w:val="20"/>
        </w:rPr>
        <w:t xml:space="preserve"> dans plusieurs pays : </w:t>
      </w:r>
    </w:p>
    <w:p w:rsidR="008645DF" w:rsidRDefault="008645DF" w:rsidP="008645DF">
      <w:pPr>
        <w:pStyle w:val="Paragraphedeliste"/>
        <w:rPr>
          <w:rStyle w:val="relative"/>
          <w:rFonts w:ascii="Arial" w:hAnsi="Arial" w:cs="Arial"/>
          <w:sz w:val="20"/>
          <w:szCs w:val="20"/>
        </w:rPr>
      </w:pPr>
    </w:p>
    <w:tbl>
      <w:tblPr>
        <w:tblW w:w="9480" w:type="dxa"/>
        <w:tblInd w:w="55" w:type="dxa"/>
        <w:tblCellMar>
          <w:left w:w="70" w:type="dxa"/>
          <w:right w:w="70" w:type="dxa"/>
        </w:tblCellMar>
        <w:tblLook w:val="04A0"/>
      </w:tblPr>
      <w:tblGrid>
        <w:gridCol w:w="1500"/>
        <w:gridCol w:w="2080"/>
        <w:gridCol w:w="1900"/>
        <w:gridCol w:w="4000"/>
      </w:tblGrid>
      <w:tr w:rsidR="008645DF" w:rsidRPr="008B5BAA" w:rsidTr="008645DF">
        <w:trPr>
          <w:trHeight w:val="615"/>
        </w:trPr>
        <w:tc>
          <w:tcPr>
            <w:tcW w:w="1500" w:type="dxa"/>
            <w:tcBorders>
              <w:top w:val="single" w:sz="4" w:space="0" w:color="auto"/>
              <w:left w:val="single" w:sz="4" w:space="0" w:color="auto"/>
              <w:bottom w:val="nil"/>
              <w:right w:val="single" w:sz="4" w:space="0" w:color="auto"/>
            </w:tcBorders>
            <w:shd w:val="clear" w:color="000000" w:fill="D99795"/>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Pays / Région</w:t>
            </w:r>
          </w:p>
        </w:tc>
        <w:tc>
          <w:tcPr>
            <w:tcW w:w="2080" w:type="dxa"/>
            <w:tcBorders>
              <w:top w:val="single" w:sz="4" w:space="0" w:color="auto"/>
              <w:left w:val="nil"/>
              <w:bottom w:val="nil"/>
              <w:right w:val="single" w:sz="4" w:space="0" w:color="auto"/>
            </w:tcBorders>
            <w:shd w:val="clear" w:color="000000" w:fill="D99795"/>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Limite d’exposition du public (900 MHz)</w:t>
            </w:r>
          </w:p>
        </w:tc>
        <w:tc>
          <w:tcPr>
            <w:tcW w:w="1900" w:type="dxa"/>
            <w:tcBorders>
              <w:top w:val="single" w:sz="4" w:space="0" w:color="auto"/>
              <w:left w:val="nil"/>
              <w:bottom w:val="nil"/>
              <w:right w:val="single" w:sz="4" w:space="0" w:color="auto"/>
            </w:tcBorders>
            <w:shd w:val="clear" w:color="000000" w:fill="D99795"/>
            <w:vAlign w:val="center"/>
            <w:hideMark/>
          </w:tcPr>
          <w:p w:rsidR="008645DF" w:rsidRPr="008B5BAA" w:rsidRDefault="008645DF" w:rsidP="00D9648F">
            <w:pPr>
              <w:ind w:left="51" w:hanging="51"/>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Génération de TM</w:t>
            </w:r>
          </w:p>
        </w:tc>
        <w:tc>
          <w:tcPr>
            <w:tcW w:w="4000" w:type="dxa"/>
            <w:tcBorders>
              <w:top w:val="single" w:sz="4" w:space="0" w:color="auto"/>
              <w:left w:val="nil"/>
              <w:bottom w:val="nil"/>
              <w:right w:val="single" w:sz="4" w:space="0" w:color="auto"/>
            </w:tcBorders>
            <w:shd w:val="clear" w:color="000000" w:fill="D99795"/>
            <w:vAlign w:val="center"/>
            <w:hideMark/>
          </w:tcPr>
          <w:p w:rsidR="008645DF" w:rsidRPr="008B5BAA" w:rsidRDefault="008645DF" w:rsidP="00D9648F">
            <w:pPr>
              <w:ind w:left="0" w:firstLine="0"/>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Référence / Base réglementaire</w:t>
            </w:r>
          </w:p>
        </w:tc>
      </w:tr>
      <w:tr w:rsidR="008645DF" w:rsidRPr="008B5BAA" w:rsidTr="008645DF">
        <w:trPr>
          <w:trHeight w:val="600"/>
        </w:trPr>
        <w:tc>
          <w:tcPr>
            <w:tcW w:w="150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France</w:t>
            </w:r>
          </w:p>
        </w:tc>
        <w:tc>
          <w:tcPr>
            <w:tcW w:w="2080" w:type="dxa"/>
            <w:tcBorders>
              <w:top w:val="single" w:sz="8" w:space="0" w:color="auto"/>
              <w:left w:val="nil"/>
              <w:bottom w:val="single" w:sz="4"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4,5 W/m²</w:t>
            </w:r>
            <w:r w:rsidRPr="008B5BAA">
              <w:rPr>
                <w:rFonts w:ascii="Calibri" w:eastAsia="Times New Roman" w:hAnsi="Calibri" w:cs="Calibri"/>
                <w:color w:val="000000"/>
                <w:lang w:eastAsia="fr-FR"/>
              </w:rPr>
              <w:t xml:space="preserve"> (41 V/m)</w:t>
            </w:r>
          </w:p>
        </w:tc>
        <w:tc>
          <w:tcPr>
            <w:tcW w:w="1900" w:type="dxa"/>
            <w:tcBorders>
              <w:top w:val="single" w:sz="8" w:space="0" w:color="auto"/>
              <w:left w:val="nil"/>
              <w:bottom w:val="single" w:sz="4"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2G (900 MHz)</w:t>
            </w:r>
          </w:p>
        </w:tc>
        <w:tc>
          <w:tcPr>
            <w:tcW w:w="4000" w:type="dxa"/>
            <w:tcBorders>
              <w:top w:val="single" w:sz="8" w:space="0" w:color="auto"/>
              <w:left w:val="nil"/>
              <w:bottom w:val="single" w:sz="4" w:space="0" w:color="auto"/>
              <w:right w:val="single" w:sz="8"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Recommandations ICNIRP 1998, intégrées dans la réglementation française</w:t>
            </w:r>
          </w:p>
        </w:tc>
      </w:tr>
      <w:tr w:rsidR="008645DF" w:rsidRPr="008B5BAA" w:rsidTr="008645DF">
        <w:trPr>
          <w:trHeight w:val="600"/>
        </w:trPr>
        <w:tc>
          <w:tcPr>
            <w:tcW w:w="1500" w:type="dxa"/>
            <w:tcBorders>
              <w:top w:val="nil"/>
              <w:left w:val="single" w:sz="8" w:space="0" w:color="auto"/>
              <w:bottom w:val="single" w:sz="4"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France</w:t>
            </w:r>
          </w:p>
        </w:tc>
        <w:tc>
          <w:tcPr>
            <w:tcW w:w="208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 xml:space="preserve">9 W/m² </w:t>
            </w:r>
            <w:r w:rsidRPr="008B5BAA">
              <w:rPr>
                <w:rFonts w:ascii="Calibri" w:eastAsia="Times New Roman" w:hAnsi="Calibri" w:cs="Calibri"/>
                <w:color w:val="000000"/>
                <w:lang w:eastAsia="fr-FR"/>
              </w:rPr>
              <w:t>(58 V/m)</w:t>
            </w:r>
          </w:p>
        </w:tc>
        <w:tc>
          <w:tcPr>
            <w:tcW w:w="19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2G/3G (1800 MHz)</w:t>
            </w:r>
          </w:p>
        </w:tc>
        <w:tc>
          <w:tcPr>
            <w:tcW w:w="4000" w:type="dxa"/>
            <w:tcBorders>
              <w:top w:val="nil"/>
              <w:left w:val="nil"/>
              <w:bottom w:val="single" w:sz="4" w:space="0" w:color="auto"/>
              <w:right w:val="single" w:sz="8"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Recommandations ICNIRP 1998, intégrées dans la réglementation française</w:t>
            </w:r>
          </w:p>
        </w:tc>
      </w:tr>
      <w:tr w:rsidR="008645DF" w:rsidRPr="008B5BAA" w:rsidTr="008645DF">
        <w:trPr>
          <w:trHeight w:val="690"/>
        </w:trPr>
        <w:tc>
          <w:tcPr>
            <w:tcW w:w="1500" w:type="dxa"/>
            <w:tcBorders>
              <w:top w:val="nil"/>
              <w:left w:val="single" w:sz="8" w:space="0" w:color="auto"/>
              <w:bottom w:val="single" w:sz="8"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France</w:t>
            </w:r>
          </w:p>
        </w:tc>
        <w:tc>
          <w:tcPr>
            <w:tcW w:w="2080" w:type="dxa"/>
            <w:tcBorders>
              <w:top w:val="nil"/>
              <w:left w:val="nil"/>
              <w:bottom w:val="single" w:sz="8"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 xml:space="preserve">10 W/m² </w:t>
            </w:r>
            <w:r w:rsidRPr="008B5BAA">
              <w:rPr>
                <w:rFonts w:ascii="Calibri" w:eastAsia="Times New Roman" w:hAnsi="Calibri" w:cs="Calibri"/>
                <w:color w:val="000000"/>
                <w:lang w:eastAsia="fr-FR"/>
              </w:rPr>
              <w:t>(61 V/m)</w:t>
            </w:r>
          </w:p>
        </w:tc>
        <w:tc>
          <w:tcPr>
            <w:tcW w:w="1900" w:type="dxa"/>
            <w:tcBorders>
              <w:top w:val="nil"/>
              <w:left w:val="nil"/>
              <w:bottom w:val="single" w:sz="8"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3G/4G/5G (2100–3500MHz)</w:t>
            </w:r>
          </w:p>
        </w:tc>
        <w:tc>
          <w:tcPr>
            <w:tcW w:w="4000" w:type="dxa"/>
            <w:tcBorders>
              <w:top w:val="nil"/>
              <w:left w:val="nil"/>
              <w:bottom w:val="single" w:sz="8" w:space="0" w:color="auto"/>
              <w:right w:val="single" w:sz="8"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Recommandations ICNIRP 1998, intégrées dans la réglementation française</w:t>
            </w:r>
          </w:p>
        </w:tc>
      </w:tr>
      <w:tr w:rsidR="008645DF" w:rsidRPr="008B5BAA" w:rsidTr="008645DF">
        <w:trPr>
          <w:trHeight w:val="720"/>
        </w:trPr>
        <w:tc>
          <w:tcPr>
            <w:tcW w:w="1500" w:type="dxa"/>
            <w:tcBorders>
              <w:top w:val="nil"/>
              <w:left w:val="single" w:sz="4" w:space="0" w:color="auto"/>
              <w:bottom w:val="single" w:sz="4"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Allemagne</w:t>
            </w:r>
          </w:p>
        </w:tc>
        <w:tc>
          <w:tcPr>
            <w:tcW w:w="208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idem France</w:t>
            </w:r>
          </w:p>
        </w:tc>
        <w:tc>
          <w:tcPr>
            <w:tcW w:w="19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idem France</w:t>
            </w:r>
          </w:p>
        </w:tc>
        <w:tc>
          <w:tcPr>
            <w:tcW w:w="40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Recommandations ICNIRP 1998, intégrées dans la réglementation allemande</w:t>
            </w:r>
          </w:p>
        </w:tc>
      </w:tr>
      <w:tr w:rsidR="008645DF" w:rsidRPr="008B5BAA" w:rsidTr="008645DF">
        <w:trPr>
          <w:trHeight w:val="600"/>
        </w:trPr>
        <w:tc>
          <w:tcPr>
            <w:tcW w:w="1500" w:type="dxa"/>
            <w:tcBorders>
              <w:top w:val="nil"/>
              <w:left w:val="single" w:sz="4" w:space="0" w:color="auto"/>
              <w:bottom w:val="nil"/>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Italie</w:t>
            </w:r>
          </w:p>
        </w:tc>
        <w:tc>
          <w:tcPr>
            <w:tcW w:w="2080" w:type="dxa"/>
            <w:tcBorders>
              <w:top w:val="nil"/>
              <w:left w:val="nil"/>
              <w:bottom w:val="nil"/>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 xml:space="preserve">1 W/m² </w:t>
            </w:r>
            <w:r w:rsidRPr="008B5BAA">
              <w:rPr>
                <w:rFonts w:ascii="Calibri" w:eastAsia="Times New Roman" w:hAnsi="Calibri" w:cs="Calibri"/>
                <w:color w:val="000000"/>
                <w:lang w:eastAsia="fr-FR"/>
              </w:rPr>
              <w:t>(19 V/m)</w:t>
            </w:r>
          </w:p>
        </w:tc>
        <w:tc>
          <w:tcPr>
            <w:tcW w:w="1900" w:type="dxa"/>
            <w:tcBorders>
              <w:top w:val="nil"/>
              <w:left w:val="nil"/>
              <w:bottom w:val="nil"/>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Toutes générations</w:t>
            </w:r>
          </w:p>
        </w:tc>
        <w:tc>
          <w:tcPr>
            <w:tcW w:w="4000" w:type="dxa"/>
            <w:tcBorders>
              <w:top w:val="nil"/>
              <w:left w:val="nil"/>
              <w:bottom w:val="nil"/>
              <w:right w:val="single" w:sz="4"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en général, plus strict que ICNIRP</w:t>
            </w:r>
          </w:p>
        </w:tc>
      </w:tr>
      <w:tr w:rsidR="008645DF" w:rsidRPr="008B5BAA" w:rsidTr="008645DF">
        <w:trPr>
          <w:trHeight w:val="600"/>
        </w:trPr>
        <w:tc>
          <w:tcPr>
            <w:tcW w:w="150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 xml:space="preserve">Suisse </w:t>
            </w:r>
          </w:p>
        </w:tc>
        <w:tc>
          <w:tcPr>
            <w:tcW w:w="2080" w:type="dxa"/>
            <w:tcBorders>
              <w:top w:val="single" w:sz="8" w:space="0" w:color="auto"/>
              <w:left w:val="nil"/>
              <w:bottom w:val="single" w:sz="4"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idem France</w:t>
            </w:r>
          </w:p>
        </w:tc>
        <w:tc>
          <w:tcPr>
            <w:tcW w:w="1900" w:type="dxa"/>
            <w:tcBorders>
              <w:top w:val="single" w:sz="8" w:space="0" w:color="auto"/>
              <w:left w:val="nil"/>
              <w:bottom w:val="single" w:sz="4"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Toutes générations</w:t>
            </w:r>
          </w:p>
        </w:tc>
        <w:tc>
          <w:tcPr>
            <w:tcW w:w="4000" w:type="dxa"/>
            <w:tcBorders>
              <w:top w:val="single" w:sz="8" w:space="0" w:color="auto"/>
              <w:left w:val="nil"/>
              <w:bottom w:val="single" w:sz="4" w:space="0" w:color="auto"/>
              <w:right w:val="single" w:sz="8"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Recommandations ICNIRP 1998 en population générale</w:t>
            </w:r>
          </w:p>
        </w:tc>
      </w:tr>
      <w:tr w:rsidR="008645DF" w:rsidRPr="008B5BAA" w:rsidTr="008645DF">
        <w:trPr>
          <w:trHeight w:val="600"/>
        </w:trPr>
        <w:tc>
          <w:tcPr>
            <w:tcW w:w="1500" w:type="dxa"/>
            <w:tcBorders>
              <w:top w:val="nil"/>
              <w:left w:val="single" w:sz="8" w:space="0" w:color="auto"/>
              <w:bottom w:val="single" w:sz="8"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 xml:space="preserve">Suisse </w:t>
            </w:r>
          </w:p>
        </w:tc>
        <w:tc>
          <w:tcPr>
            <w:tcW w:w="2080" w:type="dxa"/>
            <w:tcBorders>
              <w:top w:val="nil"/>
              <w:left w:val="nil"/>
              <w:bottom w:val="single" w:sz="8"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 xml:space="preserve">0,04 - 0,1 W/m²                             </w:t>
            </w:r>
            <w:r w:rsidRPr="008B5BAA">
              <w:rPr>
                <w:rFonts w:ascii="Calibri" w:eastAsia="Times New Roman" w:hAnsi="Calibri" w:cs="Calibri"/>
                <w:color w:val="000000"/>
                <w:lang w:eastAsia="fr-FR"/>
              </w:rPr>
              <w:t>(4-6 V/m)</w:t>
            </w:r>
          </w:p>
        </w:tc>
        <w:tc>
          <w:tcPr>
            <w:tcW w:w="1900" w:type="dxa"/>
            <w:tcBorders>
              <w:top w:val="nil"/>
              <w:left w:val="nil"/>
              <w:bottom w:val="single" w:sz="8"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Toutes générations</w:t>
            </w:r>
          </w:p>
        </w:tc>
        <w:tc>
          <w:tcPr>
            <w:tcW w:w="4000" w:type="dxa"/>
            <w:tcBorders>
              <w:top w:val="nil"/>
              <w:left w:val="nil"/>
              <w:bottom w:val="single" w:sz="8" w:space="0" w:color="auto"/>
              <w:right w:val="single" w:sz="8"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 xml:space="preserve"> Valeurs limites d'immission dans ERPS (écoles, hôpitaux, etc)</w:t>
            </w:r>
          </w:p>
        </w:tc>
      </w:tr>
      <w:tr w:rsidR="008645DF" w:rsidRPr="008B5BAA" w:rsidTr="008645DF">
        <w:trPr>
          <w:trHeight w:val="915"/>
        </w:trPr>
        <w:tc>
          <w:tcPr>
            <w:tcW w:w="1500" w:type="dxa"/>
            <w:tcBorders>
              <w:top w:val="nil"/>
              <w:left w:val="single" w:sz="8" w:space="0" w:color="auto"/>
              <w:bottom w:val="single" w:sz="4"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Belgique (Bruxelles)</w:t>
            </w:r>
          </w:p>
        </w:tc>
        <w:tc>
          <w:tcPr>
            <w:tcW w:w="208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 xml:space="preserve">0,1 W/m² </w:t>
            </w:r>
            <w:r w:rsidRPr="008B5BAA">
              <w:rPr>
                <w:rFonts w:ascii="Calibri" w:eastAsia="Times New Roman" w:hAnsi="Calibri" w:cs="Calibri"/>
                <w:color w:val="000000"/>
                <w:lang w:eastAsia="fr-FR"/>
              </w:rPr>
              <w:t>(6 V/m)</w:t>
            </w:r>
          </w:p>
        </w:tc>
        <w:tc>
          <w:tcPr>
            <w:tcW w:w="19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Toutes générations</w:t>
            </w:r>
          </w:p>
        </w:tc>
        <w:tc>
          <w:tcPr>
            <w:tcW w:w="4000" w:type="dxa"/>
            <w:tcBorders>
              <w:top w:val="nil"/>
              <w:left w:val="nil"/>
              <w:bottom w:val="single" w:sz="4" w:space="0" w:color="auto"/>
              <w:right w:val="single" w:sz="8"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Pas de norme nationale unique, variable selon les régions, plus restrictives que ICNIRP</w:t>
            </w:r>
          </w:p>
        </w:tc>
      </w:tr>
      <w:tr w:rsidR="008645DF" w:rsidRPr="008B5BAA" w:rsidTr="008645DF">
        <w:trPr>
          <w:trHeight w:val="915"/>
        </w:trPr>
        <w:tc>
          <w:tcPr>
            <w:tcW w:w="1500" w:type="dxa"/>
            <w:tcBorders>
              <w:top w:val="nil"/>
              <w:left w:val="single" w:sz="8" w:space="0" w:color="auto"/>
              <w:bottom w:val="single" w:sz="4"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lastRenderedPageBreak/>
              <w:t>Belgique (Flandre)</w:t>
            </w:r>
          </w:p>
        </w:tc>
        <w:tc>
          <w:tcPr>
            <w:tcW w:w="208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3 V/m par antenne, 20 V/m cumulés</w:t>
            </w:r>
          </w:p>
        </w:tc>
        <w:tc>
          <w:tcPr>
            <w:tcW w:w="19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Toutes générations</w:t>
            </w:r>
          </w:p>
        </w:tc>
        <w:tc>
          <w:tcPr>
            <w:tcW w:w="4000" w:type="dxa"/>
            <w:tcBorders>
              <w:top w:val="nil"/>
              <w:left w:val="nil"/>
              <w:bottom w:val="single" w:sz="4" w:space="0" w:color="auto"/>
              <w:right w:val="single" w:sz="8"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Pas de norme nationale unique, variable selon les régions, plus restrictives que ICNIRP</w:t>
            </w:r>
          </w:p>
        </w:tc>
      </w:tr>
      <w:tr w:rsidR="008645DF" w:rsidRPr="008B5BAA" w:rsidTr="008645DF">
        <w:trPr>
          <w:trHeight w:val="915"/>
        </w:trPr>
        <w:tc>
          <w:tcPr>
            <w:tcW w:w="1500" w:type="dxa"/>
            <w:tcBorders>
              <w:top w:val="nil"/>
              <w:left w:val="single" w:sz="8" w:space="0" w:color="auto"/>
              <w:bottom w:val="single" w:sz="8"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Belgique (Wallonie)</w:t>
            </w:r>
          </w:p>
        </w:tc>
        <w:tc>
          <w:tcPr>
            <w:tcW w:w="2080" w:type="dxa"/>
            <w:tcBorders>
              <w:top w:val="nil"/>
              <w:left w:val="nil"/>
              <w:bottom w:val="single" w:sz="8"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idem Flandre mais 3V/m max à 10 m d'altitude</w:t>
            </w:r>
          </w:p>
        </w:tc>
        <w:tc>
          <w:tcPr>
            <w:tcW w:w="1900" w:type="dxa"/>
            <w:tcBorders>
              <w:top w:val="nil"/>
              <w:left w:val="nil"/>
              <w:bottom w:val="single" w:sz="8"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Toutes générations</w:t>
            </w:r>
          </w:p>
        </w:tc>
        <w:tc>
          <w:tcPr>
            <w:tcW w:w="4000" w:type="dxa"/>
            <w:tcBorders>
              <w:top w:val="nil"/>
              <w:left w:val="nil"/>
              <w:bottom w:val="single" w:sz="8" w:space="0" w:color="auto"/>
              <w:right w:val="single" w:sz="8"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Pas de norme nationale unique, variable selon les régions, plus restrictives que ICNIRP</w:t>
            </w:r>
          </w:p>
        </w:tc>
      </w:tr>
      <w:tr w:rsidR="008645DF" w:rsidRPr="008B5BAA" w:rsidTr="008645DF">
        <w:trPr>
          <w:trHeight w:val="900"/>
        </w:trPr>
        <w:tc>
          <w:tcPr>
            <w:tcW w:w="1500" w:type="dxa"/>
            <w:tcBorders>
              <w:top w:val="nil"/>
              <w:left w:val="single" w:sz="4" w:space="0" w:color="auto"/>
              <w:bottom w:val="single" w:sz="4"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Russie</w:t>
            </w:r>
          </w:p>
        </w:tc>
        <w:tc>
          <w:tcPr>
            <w:tcW w:w="208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0,1 W/m²</w:t>
            </w:r>
            <w:r w:rsidRPr="008B5BAA">
              <w:rPr>
                <w:rFonts w:ascii="Calibri" w:eastAsia="Times New Roman" w:hAnsi="Calibri" w:cs="Calibri"/>
                <w:color w:val="000000"/>
                <w:lang w:eastAsia="fr-FR"/>
              </w:rPr>
              <w:t xml:space="preserve"> (6 V/m)</w:t>
            </w:r>
          </w:p>
        </w:tc>
        <w:tc>
          <w:tcPr>
            <w:tcW w:w="19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Toutes générations</w:t>
            </w:r>
          </w:p>
        </w:tc>
        <w:tc>
          <w:tcPr>
            <w:tcW w:w="40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Norme sanitaire russe (SanPiN 2.2.4/2.1.8.055-96), basée sur des études biologiques locales</w:t>
            </w:r>
          </w:p>
        </w:tc>
      </w:tr>
      <w:tr w:rsidR="008645DF" w:rsidRPr="008B5BAA" w:rsidTr="008645DF">
        <w:trPr>
          <w:trHeight w:val="600"/>
        </w:trPr>
        <w:tc>
          <w:tcPr>
            <w:tcW w:w="1500" w:type="dxa"/>
            <w:tcBorders>
              <w:top w:val="nil"/>
              <w:left w:val="single" w:sz="4" w:space="0" w:color="auto"/>
              <w:bottom w:val="single" w:sz="4"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Inde</w:t>
            </w:r>
          </w:p>
        </w:tc>
        <w:tc>
          <w:tcPr>
            <w:tcW w:w="208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0,45 W/m²</w:t>
            </w:r>
            <w:r w:rsidRPr="008B5BAA">
              <w:rPr>
                <w:rFonts w:ascii="Calibri" w:eastAsia="Times New Roman" w:hAnsi="Calibri" w:cs="Calibri"/>
                <w:color w:val="000000"/>
                <w:lang w:eastAsia="fr-FR"/>
              </w:rPr>
              <w:t xml:space="preserve"> (13 V/m)</w:t>
            </w:r>
          </w:p>
        </w:tc>
        <w:tc>
          <w:tcPr>
            <w:tcW w:w="19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Toutes générations</w:t>
            </w:r>
          </w:p>
        </w:tc>
        <w:tc>
          <w:tcPr>
            <w:tcW w:w="40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1/10 des limites ICNIRP, par précaution</w:t>
            </w:r>
          </w:p>
        </w:tc>
      </w:tr>
      <w:tr w:rsidR="008645DF" w:rsidRPr="008B5BAA" w:rsidTr="008645DF">
        <w:trPr>
          <w:trHeight w:val="600"/>
        </w:trPr>
        <w:tc>
          <w:tcPr>
            <w:tcW w:w="1500" w:type="dxa"/>
            <w:tcBorders>
              <w:top w:val="nil"/>
              <w:left w:val="single" w:sz="4" w:space="0" w:color="auto"/>
              <w:bottom w:val="single" w:sz="4"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Chine</w:t>
            </w:r>
          </w:p>
        </w:tc>
        <w:tc>
          <w:tcPr>
            <w:tcW w:w="208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0,4 W/m²</w:t>
            </w:r>
            <w:r w:rsidRPr="008B5BAA">
              <w:rPr>
                <w:rFonts w:ascii="Calibri" w:eastAsia="Times New Roman" w:hAnsi="Calibri" w:cs="Calibri"/>
                <w:color w:val="000000"/>
                <w:lang w:eastAsia="fr-FR"/>
              </w:rPr>
              <w:t xml:space="preserve"> (12 V/m)</w:t>
            </w:r>
          </w:p>
        </w:tc>
        <w:tc>
          <w:tcPr>
            <w:tcW w:w="19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Toutes générations</w:t>
            </w:r>
          </w:p>
        </w:tc>
        <w:tc>
          <w:tcPr>
            <w:tcW w:w="40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Norme GB 8702-2014, plus stricte que les recommandations ICNIRP</w:t>
            </w:r>
          </w:p>
        </w:tc>
      </w:tr>
      <w:tr w:rsidR="008645DF" w:rsidRPr="008B5BAA" w:rsidTr="008645DF">
        <w:trPr>
          <w:trHeight w:val="600"/>
        </w:trPr>
        <w:tc>
          <w:tcPr>
            <w:tcW w:w="1500" w:type="dxa"/>
            <w:tcBorders>
              <w:top w:val="nil"/>
              <w:left w:val="single" w:sz="4" w:space="0" w:color="auto"/>
              <w:bottom w:val="single" w:sz="4" w:space="0" w:color="auto"/>
              <w:right w:val="single" w:sz="4" w:space="0" w:color="auto"/>
            </w:tcBorders>
            <w:shd w:val="clear" w:color="auto" w:fill="auto"/>
            <w:vAlign w:val="center"/>
            <w:hideMark/>
          </w:tcPr>
          <w:p w:rsidR="008645DF" w:rsidRPr="008B5BAA" w:rsidRDefault="008645DF" w:rsidP="00D9648F">
            <w:pPr>
              <w:ind w:left="0" w:hanging="5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ICNIRP (2020)</w:t>
            </w:r>
          </w:p>
        </w:tc>
        <w:tc>
          <w:tcPr>
            <w:tcW w:w="208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 w:hanging="5"/>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idem France</w:t>
            </w:r>
          </w:p>
        </w:tc>
        <w:tc>
          <w:tcPr>
            <w:tcW w:w="19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51" w:hanging="51"/>
              <w:jc w:val="center"/>
              <w:rPr>
                <w:rFonts w:ascii="Calibri" w:eastAsia="Times New Roman" w:hAnsi="Calibri" w:cs="Calibri"/>
                <w:b/>
                <w:bCs/>
                <w:color w:val="000000"/>
                <w:lang w:eastAsia="fr-FR"/>
              </w:rPr>
            </w:pPr>
            <w:r w:rsidRPr="008B5BAA">
              <w:rPr>
                <w:rFonts w:ascii="Calibri" w:eastAsia="Times New Roman" w:hAnsi="Calibri" w:cs="Calibri"/>
                <w:b/>
                <w:bCs/>
                <w:color w:val="000000"/>
                <w:lang w:eastAsia="fr-FR"/>
              </w:rPr>
              <w:t> </w:t>
            </w:r>
          </w:p>
        </w:tc>
        <w:tc>
          <w:tcPr>
            <w:tcW w:w="4000" w:type="dxa"/>
            <w:tcBorders>
              <w:top w:val="nil"/>
              <w:left w:val="nil"/>
              <w:bottom w:val="single" w:sz="4" w:space="0" w:color="auto"/>
              <w:right w:val="single" w:sz="4" w:space="0" w:color="auto"/>
            </w:tcBorders>
            <w:shd w:val="clear" w:color="auto" w:fill="auto"/>
            <w:vAlign w:val="center"/>
            <w:hideMark/>
          </w:tcPr>
          <w:p w:rsidR="008645DF" w:rsidRPr="008B5BAA" w:rsidRDefault="008645DF" w:rsidP="00D9648F">
            <w:pPr>
              <w:ind w:left="0" w:firstLine="0"/>
              <w:jc w:val="center"/>
              <w:rPr>
                <w:rFonts w:ascii="Calibri" w:eastAsia="Times New Roman" w:hAnsi="Calibri" w:cs="Calibri"/>
                <w:color w:val="000000"/>
                <w:lang w:eastAsia="fr-FR"/>
              </w:rPr>
            </w:pPr>
            <w:r w:rsidRPr="008B5BAA">
              <w:rPr>
                <w:rFonts w:ascii="Calibri" w:eastAsia="Times New Roman" w:hAnsi="Calibri" w:cs="Calibri"/>
                <w:color w:val="000000"/>
                <w:lang w:eastAsia="fr-FR"/>
              </w:rPr>
              <w:t>Recommandation internationale pour le public</w:t>
            </w:r>
          </w:p>
        </w:tc>
      </w:tr>
    </w:tbl>
    <w:p w:rsidR="008645DF" w:rsidRDefault="008645DF" w:rsidP="008645DF">
      <w:pPr>
        <w:jc w:val="center"/>
        <w:rPr>
          <w:rFonts w:ascii="Arial" w:hAnsi="Arial" w:cs="Arial"/>
          <w:sz w:val="20"/>
          <w:szCs w:val="20"/>
        </w:rPr>
      </w:pPr>
    </w:p>
    <w:p w:rsidR="008645DF" w:rsidRDefault="008645DF" w:rsidP="008645DF">
      <w:pPr>
        <w:jc w:val="center"/>
        <w:rPr>
          <w:rFonts w:ascii="Arial" w:hAnsi="Arial" w:cs="Arial"/>
          <w:sz w:val="20"/>
          <w:szCs w:val="20"/>
        </w:rPr>
      </w:pPr>
    </w:p>
    <w:p w:rsidR="008645DF" w:rsidRDefault="008645DF" w:rsidP="008645DF">
      <w:pPr>
        <w:jc w:val="center"/>
        <w:rPr>
          <w:rFonts w:ascii="Arial" w:hAnsi="Arial" w:cs="Arial"/>
          <w:sz w:val="20"/>
          <w:szCs w:val="20"/>
        </w:rPr>
      </w:pPr>
    </w:p>
    <w:p w:rsidR="008645DF" w:rsidRDefault="008645DF" w:rsidP="008645DF">
      <w:pPr>
        <w:jc w:val="center"/>
        <w:rPr>
          <w:rFonts w:ascii="Arial" w:hAnsi="Arial" w:cs="Arial"/>
          <w:sz w:val="20"/>
          <w:szCs w:val="20"/>
        </w:rPr>
      </w:pPr>
    </w:p>
    <w:p w:rsidR="008645DF" w:rsidRDefault="008645DF" w:rsidP="008645DF">
      <w:pPr>
        <w:jc w:val="center"/>
        <w:rPr>
          <w:rFonts w:ascii="Arial" w:hAnsi="Arial" w:cs="Arial"/>
          <w:sz w:val="20"/>
          <w:szCs w:val="20"/>
        </w:rPr>
      </w:pPr>
    </w:p>
    <w:p w:rsidR="008645DF" w:rsidRPr="00BB32C6" w:rsidRDefault="008645DF" w:rsidP="009F3BB0">
      <w:pPr>
        <w:pStyle w:val="Paragraphedeliste"/>
        <w:numPr>
          <w:ilvl w:val="0"/>
          <w:numId w:val="20"/>
        </w:numPr>
        <w:spacing w:after="200" w:line="276" w:lineRule="auto"/>
        <w:jc w:val="left"/>
        <w:rPr>
          <w:rFonts w:ascii="Arial" w:hAnsi="Arial" w:cs="Arial"/>
          <w:sz w:val="20"/>
          <w:szCs w:val="20"/>
        </w:rPr>
      </w:pPr>
      <w:r w:rsidRPr="00BB32C6">
        <w:rPr>
          <w:rFonts w:ascii="Arial" w:hAnsi="Arial" w:cs="Arial"/>
          <w:sz w:val="20"/>
          <w:szCs w:val="20"/>
        </w:rPr>
        <w:t>Réglementation du suivi de l’exposition sur le lieu de travail : des valeurs-limites d’exposition et d</w:t>
      </w:r>
      <w:r>
        <w:rPr>
          <w:rFonts w:ascii="Arial" w:hAnsi="Arial" w:cs="Arial"/>
          <w:sz w:val="20"/>
          <w:szCs w:val="20"/>
        </w:rPr>
        <w:t xml:space="preserve">es valeurs déclenchant l’action : </w:t>
      </w:r>
    </w:p>
    <w:p w:rsidR="008645DF" w:rsidRPr="00BB32C6" w:rsidRDefault="008645DF" w:rsidP="008645DF">
      <w:pPr>
        <w:rPr>
          <w:rFonts w:ascii="Arial" w:hAnsi="Arial" w:cs="Arial"/>
          <w:sz w:val="20"/>
          <w:szCs w:val="20"/>
        </w:rPr>
      </w:pPr>
      <w:r w:rsidRPr="005935A4">
        <w:rPr>
          <w:noProof/>
          <w:lang w:eastAsia="fr-FR"/>
        </w:rPr>
        <w:drawing>
          <wp:inline distT="0" distB="0" distL="0" distR="0">
            <wp:extent cx="6330315" cy="509905"/>
            <wp:effectExtent l="19050" t="0" r="0" b="0"/>
            <wp:docPr id="3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srcRect/>
                    <a:stretch>
                      <a:fillRect/>
                    </a:stretch>
                  </pic:blipFill>
                  <pic:spPr bwMode="auto">
                    <a:xfrm>
                      <a:off x="0" y="0"/>
                      <a:ext cx="6330315" cy="509905"/>
                    </a:xfrm>
                    <a:prstGeom prst="rect">
                      <a:avLst/>
                    </a:prstGeom>
                    <a:noFill/>
                    <a:ln w="9525">
                      <a:noFill/>
                      <a:miter lim="800000"/>
                      <a:headEnd/>
                      <a:tailEnd/>
                    </a:ln>
                  </pic:spPr>
                </pic:pic>
              </a:graphicData>
            </a:graphic>
          </wp:inline>
        </w:drawing>
      </w:r>
    </w:p>
    <w:p w:rsidR="008645DF" w:rsidRPr="00BB32C6" w:rsidRDefault="008645DF" w:rsidP="009D4DEB">
      <w:pPr>
        <w:pStyle w:val="Paragraphedeliste"/>
        <w:ind w:left="0" w:firstLine="0"/>
        <w:jc w:val="center"/>
        <w:rPr>
          <w:rFonts w:ascii="Arial" w:hAnsi="Arial" w:cs="Arial"/>
          <w:sz w:val="20"/>
          <w:szCs w:val="20"/>
        </w:rPr>
      </w:pPr>
      <w:r w:rsidRPr="005935A4">
        <w:rPr>
          <w:noProof/>
          <w:lang w:eastAsia="fr-FR"/>
        </w:rPr>
        <w:drawing>
          <wp:inline distT="0" distB="0" distL="0" distR="0">
            <wp:extent cx="6493180" cy="3859823"/>
            <wp:effectExtent l="19050" t="0" r="2870" b="0"/>
            <wp:docPr id="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srcRect/>
                    <a:stretch>
                      <a:fillRect/>
                    </a:stretch>
                  </pic:blipFill>
                  <pic:spPr bwMode="auto">
                    <a:xfrm>
                      <a:off x="0" y="0"/>
                      <a:ext cx="6492565" cy="3859457"/>
                    </a:xfrm>
                    <a:prstGeom prst="rect">
                      <a:avLst/>
                    </a:prstGeom>
                    <a:noFill/>
                    <a:ln w="9525">
                      <a:noFill/>
                      <a:miter lim="800000"/>
                      <a:headEnd/>
                      <a:tailEnd/>
                    </a:ln>
                  </pic:spPr>
                </pic:pic>
              </a:graphicData>
            </a:graphic>
          </wp:inline>
        </w:drawing>
      </w:r>
    </w:p>
    <w:p w:rsidR="008645DF" w:rsidRPr="00BB32C6" w:rsidRDefault="008645DF" w:rsidP="008645DF">
      <w:pPr>
        <w:rPr>
          <w:rFonts w:ascii="Arial" w:hAnsi="Arial" w:cs="Arial"/>
          <w:sz w:val="20"/>
          <w:szCs w:val="20"/>
        </w:rPr>
      </w:pPr>
    </w:p>
    <w:p w:rsidR="008645DF" w:rsidRPr="00392AFB" w:rsidRDefault="008645DF" w:rsidP="009D4DEB">
      <w:pPr>
        <w:pStyle w:val="Paragraphedeliste"/>
        <w:ind w:left="-284" w:firstLine="0"/>
        <w:jc w:val="center"/>
        <w:rPr>
          <w:rFonts w:ascii="Arial" w:hAnsi="Arial" w:cs="Arial"/>
          <w:sz w:val="20"/>
          <w:szCs w:val="20"/>
        </w:rPr>
      </w:pPr>
      <w:r w:rsidRPr="005935A4">
        <w:rPr>
          <w:noProof/>
          <w:lang w:eastAsia="fr-FR"/>
        </w:rPr>
        <w:lastRenderedPageBreak/>
        <w:drawing>
          <wp:inline distT="0" distB="0" distL="0" distR="0">
            <wp:extent cx="6728323" cy="4242578"/>
            <wp:effectExtent l="19050" t="0" r="0" b="0"/>
            <wp:docPr id="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srcRect/>
                    <a:stretch>
                      <a:fillRect/>
                    </a:stretch>
                  </pic:blipFill>
                  <pic:spPr bwMode="auto">
                    <a:xfrm>
                      <a:off x="0" y="0"/>
                      <a:ext cx="6729657" cy="4243419"/>
                    </a:xfrm>
                    <a:prstGeom prst="rect">
                      <a:avLst/>
                    </a:prstGeom>
                    <a:noFill/>
                    <a:ln w="9525">
                      <a:noFill/>
                      <a:miter lim="800000"/>
                      <a:headEnd/>
                      <a:tailEnd/>
                    </a:ln>
                  </pic:spPr>
                </pic:pic>
              </a:graphicData>
            </a:graphic>
          </wp:inline>
        </w:drawing>
      </w:r>
    </w:p>
    <w:p w:rsidR="008645DF" w:rsidRDefault="008645DF" w:rsidP="009D4DEB">
      <w:pPr>
        <w:ind w:left="0" w:firstLine="0"/>
        <w:rPr>
          <w:rFonts w:ascii="Arial" w:hAnsi="Arial" w:cs="Arial"/>
          <w:sz w:val="20"/>
          <w:szCs w:val="20"/>
        </w:rPr>
      </w:pPr>
      <w:r>
        <w:rPr>
          <w:rFonts w:ascii="Arial" w:hAnsi="Arial" w:cs="Arial"/>
          <w:sz w:val="20"/>
          <w:szCs w:val="20"/>
        </w:rPr>
        <w:t xml:space="preserve">Soit 3 solutions pour le service des ressources humaines : avoir des compétences en physique et les outils pour mesurer l’exposition </w:t>
      </w:r>
      <w:r w:rsidRPr="00417B8A">
        <w:rPr>
          <w:rFonts w:ascii="Arial" w:hAnsi="Arial" w:cs="Arial"/>
          <w:b/>
          <w:sz w:val="20"/>
          <w:szCs w:val="20"/>
        </w:rPr>
        <w:t>ou</w:t>
      </w:r>
      <w:r>
        <w:rPr>
          <w:rFonts w:ascii="Arial" w:hAnsi="Arial" w:cs="Arial"/>
          <w:sz w:val="20"/>
          <w:szCs w:val="20"/>
        </w:rPr>
        <w:t xml:space="preserve"> faire appel à un prestataire extérieur (avoir prévu le budget)  </w:t>
      </w:r>
      <w:r w:rsidRPr="00417B8A">
        <w:rPr>
          <w:rFonts w:ascii="Arial" w:hAnsi="Arial" w:cs="Arial"/>
          <w:b/>
          <w:sz w:val="20"/>
          <w:szCs w:val="20"/>
        </w:rPr>
        <w:t>ou</w:t>
      </w:r>
      <w:r>
        <w:rPr>
          <w:rFonts w:ascii="Arial" w:hAnsi="Arial" w:cs="Arial"/>
          <w:sz w:val="20"/>
          <w:szCs w:val="20"/>
        </w:rPr>
        <w:t xml:space="preserve"> éluder le sujet…</w:t>
      </w:r>
    </w:p>
    <w:p w:rsidR="009D4DEB" w:rsidRDefault="009D4DEB" w:rsidP="009D4DEB">
      <w:pPr>
        <w:ind w:left="0" w:firstLine="0"/>
        <w:rPr>
          <w:rFonts w:ascii="Arial" w:hAnsi="Arial" w:cs="Arial"/>
          <w:sz w:val="20"/>
          <w:szCs w:val="20"/>
        </w:rPr>
      </w:pPr>
    </w:p>
    <w:p w:rsidR="009D4DEB" w:rsidRDefault="009D4DEB" w:rsidP="009D4DEB">
      <w:pPr>
        <w:ind w:left="0" w:firstLine="0"/>
        <w:rPr>
          <w:rFonts w:ascii="Arial" w:hAnsi="Arial" w:cs="Arial"/>
          <w:sz w:val="20"/>
          <w:szCs w:val="20"/>
        </w:rPr>
      </w:pPr>
    </w:p>
    <w:p w:rsidR="008645DF" w:rsidRDefault="008645DF" w:rsidP="009F3BB0">
      <w:pPr>
        <w:pStyle w:val="Paragraphedeliste"/>
        <w:numPr>
          <w:ilvl w:val="0"/>
          <w:numId w:val="20"/>
        </w:numPr>
        <w:spacing w:after="200"/>
        <w:jc w:val="left"/>
        <w:rPr>
          <w:rFonts w:ascii="Arial" w:hAnsi="Arial" w:cs="Arial"/>
          <w:sz w:val="20"/>
          <w:szCs w:val="20"/>
        </w:rPr>
      </w:pPr>
      <w:r w:rsidRPr="00D15862">
        <w:rPr>
          <w:rFonts w:ascii="Arial" w:hAnsi="Arial" w:cs="Arial"/>
          <w:sz w:val="20"/>
          <w:szCs w:val="20"/>
          <w:u w:val="single"/>
        </w:rPr>
        <w:t>Comparatif des valeurs-guides ICNIRP, ICBE-EMF et EUROPAEM</w:t>
      </w:r>
      <w:r>
        <w:rPr>
          <w:rFonts w:ascii="Arial" w:hAnsi="Arial" w:cs="Arial"/>
          <w:sz w:val="20"/>
          <w:szCs w:val="20"/>
        </w:rPr>
        <w:t> :</w:t>
      </w:r>
    </w:p>
    <w:p w:rsidR="008645DF" w:rsidRDefault="008645DF" w:rsidP="008645DF">
      <w:pPr>
        <w:pStyle w:val="Paragraphedeliste"/>
        <w:rPr>
          <w:rFonts w:ascii="Arial" w:hAnsi="Arial" w:cs="Arial"/>
          <w:sz w:val="20"/>
          <w:szCs w:val="20"/>
        </w:rPr>
      </w:pPr>
    </w:p>
    <w:p w:rsidR="008645DF" w:rsidRPr="00417B8A" w:rsidRDefault="008645DF" w:rsidP="009D4DEB">
      <w:pPr>
        <w:pStyle w:val="Paragraphedeliste"/>
        <w:ind w:left="0" w:firstLine="0"/>
        <w:rPr>
          <w:rFonts w:ascii="Arial" w:hAnsi="Arial" w:cs="Arial"/>
          <w:sz w:val="20"/>
          <w:szCs w:val="20"/>
        </w:rPr>
      </w:pPr>
      <w:r>
        <w:rPr>
          <w:rFonts w:ascii="Arial" w:hAnsi="Arial" w:cs="Arial"/>
          <w:sz w:val="20"/>
          <w:szCs w:val="20"/>
        </w:rPr>
        <w:t>Pour le public :</w:t>
      </w:r>
    </w:p>
    <w:p w:rsidR="008645DF" w:rsidRDefault="008645DF" w:rsidP="008645DF">
      <w:pPr>
        <w:pStyle w:val="Paragraphedeliste"/>
        <w:rPr>
          <w:rFonts w:ascii="Arial" w:hAnsi="Arial" w:cs="Arial"/>
          <w:sz w:val="20"/>
          <w:szCs w:val="20"/>
        </w:rPr>
      </w:pPr>
    </w:p>
    <w:tbl>
      <w:tblPr>
        <w:tblW w:w="9923" w:type="dxa"/>
        <w:tblInd w:w="-72" w:type="dxa"/>
        <w:tblCellMar>
          <w:left w:w="70" w:type="dxa"/>
          <w:right w:w="70" w:type="dxa"/>
        </w:tblCellMar>
        <w:tblLook w:val="04A0"/>
      </w:tblPr>
      <w:tblGrid>
        <w:gridCol w:w="2836"/>
        <w:gridCol w:w="2126"/>
        <w:gridCol w:w="2490"/>
        <w:gridCol w:w="2471"/>
      </w:tblGrid>
      <w:tr w:rsidR="008645DF" w:rsidRPr="009A5062" w:rsidTr="009D4DEB">
        <w:trPr>
          <w:trHeight w:val="510"/>
        </w:trPr>
        <w:tc>
          <w:tcPr>
            <w:tcW w:w="2836" w:type="dxa"/>
            <w:tcBorders>
              <w:top w:val="single" w:sz="4" w:space="0" w:color="auto"/>
              <w:left w:val="single" w:sz="4" w:space="0" w:color="auto"/>
              <w:bottom w:val="single" w:sz="4" w:space="0" w:color="auto"/>
              <w:right w:val="single" w:sz="4" w:space="0" w:color="auto"/>
            </w:tcBorders>
            <w:shd w:val="clear" w:color="000000" w:fill="FAC090"/>
            <w:noWrap/>
            <w:vAlign w:val="center"/>
            <w:hideMark/>
          </w:tcPr>
          <w:p w:rsidR="008645DF" w:rsidRPr="009A5062" w:rsidRDefault="008645DF" w:rsidP="008645DF">
            <w:pPr>
              <w:jc w:val="center"/>
              <w:rPr>
                <w:rFonts w:ascii="Calibri" w:eastAsia="Times New Roman" w:hAnsi="Calibri" w:cs="Calibri"/>
                <w:b/>
                <w:bCs/>
                <w:color w:val="000000"/>
                <w:lang w:eastAsia="fr-FR"/>
              </w:rPr>
            </w:pPr>
            <w:r w:rsidRPr="009A5062">
              <w:rPr>
                <w:rFonts w:ascii="Calibri" w:eastAsia="Times New Roman" w:hAnsi="Calibri" w:cs="Calibri"/>
                <w:b/>
                <w:bCs/>
                <w:color w:val="000000"/>
                <w:lang w:eastAsia="fr-FR"/>
              </w:rPr>
              <w:t>Fréquence / Domaine</w:t>
            </w:r>
          </w:p>
        </w:tc>
        <w:tc>
          <w:tcPr>
            <w:tcW w:w="2126" w:type="dxa"/>
            <w:tcBorders>
              <w:top w:val="single" w:sz="4" w:space="0" w:color="auto"/>
              <w:left w:val="nil"/>
              <w:bottom w:val="single" w:sz="4" w:space="0" w:color="auto"/>
              <w:right w:val="single" w:sz="4" w:space="0" w:color="auto"/>
            </w:tcBorders>
            <w:shd w:val="clear" w:color="000000" w:fill="FAC090"/>
            <w:noWrap/>
            <w:vAlign w:val="center"/>
            <w:hideMark/>
          </w:tcPr>
          <w:p w:rsidR="008645DF" w:rsidRPr="009A5062" w:rsidRDefault="008645DF" w:rsidP="008645DF">
            <w:pPr>
              <w:jc w:val="center"/>
              <w:rPr>
                <w:rFonts w:ascii="Calibri" w:eastAsia="Times New Roman" w:hAnsi="Calibri" w:cs="Calibri"/>
                <w:b/>
                <w:bCs/>
                <w:color w:val="000000"/>
                <w:lang w:eastAsia="fr-FR"/>
              </w:rPr>
            </w:pPr>
            <w:r w:rsidRPr="009A5062">
              <w:rPr>
                <w:rFonts w:ascii="Calibri" w:eastAsia="Times New Roman" w:hAnsi="Calibri" w:cs="Calibri"/>
                <w:b/>
                <w:bCs/>
                <w:color w:val="000000"/>
                <w:lang w:eastAsia="fr-FR"/>
              </w:rPr>
              <w:t>ICNIRP 2020 (public)</w:t>
            </w:r>
          </w:p>
        </w:tc>
        <w:tc>
          <w:tcPr>
            <w:tcW w:w="2490" w:type="dxa"/>
            <w:tcBorders>
              <w:top w:val="single" w:sz="4" w:space="0" w:color="auto"/>
              <w:left w:val="nil"/>
              <w:bottom w:val="single" w:sz="4" w:space="0" w:color="auto"/>
              <w:right w:val="single" w:sz="4" w:space="0" w:color="auto"/>
            </w:tcBorders>
            <w:shd w:val="clear" w:color="000000" w:fill="FAC090"/>
            <w:noWrap/>
            <w:vAlign w:val="center"/>
            <w:hideMark/>
          </w:tcPr>
          <w:p w:rsidR="008645DF" w:rsidRPr="009A5062" w:rsidRDefault="008645DF" w:rsidP="009D4DEB">
            <w:pPr>
              <w:ind w:left="67" w:firstLine="0"/>
              <w:jc w:val="center"/>
              <w:rPr>
                <w:rFonts w:ascii="Calibri" w:eastAsia="Times New Roman" w:hAnsi="Calibri" w:cs="Calibri"/>
                <w:b/>
                <w:bCs/>
                <w:color w:val="000000"/>
                <w:lang w:eastAsia="fr-FR"/>
              </w:rPr>
            </w:pPr>
            <w:r w:rsidRPr="009A5062">
              <w:rPr>
                <w:rFonts w:ascii="Calibri" w:eastAsia="Times New Roman" w:hAnsi="Calibri" w:cs="Calibri"/>
                <w:b/>
                <w:bCs/>
                <w:color w:val="000000"/>
                <w:lang w:eastAsia="fr-FR"/>
              </w:rPr>
              <w:t>EUROPAEM (2016)</w:t>
            </w:r>
          </w:p>
        </w:tc>
        <w:tc>
          <w:tcPr>
            <w:tcW w:w="2471" w:type="dxa"/>
            <w:tcBorders>
              <w:top w:val="single" w:sz="4" w:space="0" w:color="auto"/>
              <w:left w:val="nil"/>
              <w:bottom w:val="single" w:sz="4" w:space="0" w:color="auto"/>
              <w:right w:val="single" w:sz="4" w:space="0" w:color="auto"/>
            </w:tcBorders>
            <w:shd w:val="clear" w:color="000000" w:fill="FAC090"/>
            <w:noWrap/>
            <w:vAlign w:val="center"/>
            <w:hideMark/>
          </w:tcPr>
          <w:p w:rsidR="008645DF" w:rsidRPr="009A5062" w:rsidRDefault="008645DF" w:rsidP="008645DF">
            <w:pPr>
              <w:jc w:val="center"/>
              <w:rPr>
                <w:rFonts w:ascii="Calibri" w:eastAsia="Times New Roman" w:hAnsi="Calibri" w:cs="Calibri"/>
                <w:b/>
                <w:bCs/>
                <w:color w:val="000000"/>
                <w:lang w:eastAsia="fr-FR"/>
              </w:rPr>
            </w:pPr>
            <w:r w:rsidRPr="009A5062">
              <w:rPr>
                <w:rFonts w:ascii="Calibri" w:eastAsia="Times New Roman" w:hAnsi="Calibri" w:cs="Calibri"/>
                <w:b/>
                <w:bCs/>
                <w:color w:val="000000"/>
                <w:lang w:eastAsia="fr-FR"/>
              </w:rPr>
              <w:t>ICBE-EMF (2022)</w:t>
            </w:r>
          </w:p>
        </w:tc>
      </w:tr>
      <w:tr w:rsidR="008645DF" w:rsidRPr="009A5062" w:rsidTr="009D4DEB">
        <w:trPr>
          <w:trHeight w:val="600"/>
        </w:trPr>
        <w:tc>
          <w:tcPr>
            <w:tcW w:w="2836" w:type="dxa"/>
            <w:tcBorders>
              <w:top w:val="nil"/>
              <w:left w:val="single" w:sz="4" w:space="0" w:color="auto"/>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RF (900 MHz – téléphonie 2G)</w:t>
            </w:r>
          </w:p>
        </w:tc>
        <w:tc>
          <w:tcPr>
            <w:tcW w:w="2126"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4.5 W/m² (41 V/m)</w:t>
            </w:r>
          </w:p>
        </w:tc>
        <w:tc>
          <w:tcPr>
            <w:tcW w:w="2490"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9D4DEB">
            <w:pPr>
              <w:ind w:left="67" w:firstLine="0"/>
              <w:jc w:val="center"/>
              <w:rPr>
                <w:rFonts w:ascii="Calibri" w:eastAsia="Times New Roman" w:hAnsi="Calibri" w:cs="Calibri"/>
                <w:color w:val="000000"/>
                <w:lang w:eastAsia="fr-FR"/>
              </w:rPr>
            </w:pPr>
            <w:r w:rsidRPr="009A5062">
              <w:rPr>
                <w:rFonts w:ascii="Calibri" w:eastAsia="Times New Roman" w:hAnsi="Calibri" w:cs="Calibri"/>
                <w:color w:val="000000"/>
                <w:lang w:eastAsia="fr-FR"/>
              </w:rPr>
              <w:t>&lt; 0.1 µW/cm² (0.6 V/m)</w:t>
            </w:r>
          </w:p>
        </w:tc>
        <w:tc>
          <w:tcPr>
            <w:tcW w:w="2471"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Propose ≤ 0.1 µW/cm²</w:t>
            </w:r>
          </w:p>
        </w:tc>
      </w:tr>
      <w:tr w:rsidR="008645DF" w:rsidRPr="009A5062" w:rsidTr="009D4DEB">
        <w:trPr>
          <w:trHeight w:val="600"/>
        </w:trPr>
        <w:tc>
          <w:tcPr>
            <w:tcW w:w="2836" w:type="dxa"/>
            <w:tcBorders>
              <w:top w:val="nil"/>
              <w:left w:val="single" w:sz="4" w:space="0" w:color="auto"/>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RF (2.4 GHz – Wi-Fi)</w:t>
            </w:r>
          </w:p>
        </w:tc>
        <w:tc>
          <w:tcPr>
            <w:tcW w:w="2126"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10 W/m² (61 V/m)</w:t>
            </w:r>
          </w:p>
        </w:tc>
        <w:tc>
          <w:tcPr>
            <w:tcW w:w="2490"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9D4DEB">
            <w:pPr>
              <w:ind w:left="67" w:firstLine="0"/>
              <w:jc w:val="center"/>
              <w:rPr>
                <w:rFonts w:ascii="Calibri" w:eastAsia="Times New Roman" w:hAnsi="Calibri" w:cs="Calibri"/>
                <w:color w:val="000000"/>
                <w:lang w:eastAsia="fr-FR"/>
              </w:rPr>
            </w:pPr>
            <w:r w:rsidRPr="009A5062">
              <w:rPr>
                <w:rFonts w:ascii="Calibri" w:eastAsia="Times New Roman" w:hAnsi="Calibri" w:cs="Calibri"/>
                <w:color w:val="000000"/>
                <w:lang w:eastAsia="fr-FR"/>
              </w:rPr>
              <w:t>&lt; 0.1 µW/cm² (0.6 V/m)</w:t>
            </w:r>
          </w:p>
        </w:tc>
        <w:tc>
          <w:tcPr>
            <w:tcW w:w="2471"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Propose ≤ 0.1 µW/cm²</w:t>
            </w:r>
          </w:p>
        </w:tc>
      </w:tr>
      <w:tr w:rsidR="008645DF" w:rsidRPr="009A5062" w:rsidTr="009D4DEB">
        <w:trPr>
          <w:trHeight w:val="600"/>
        </w:trPr>
        <w:tc>
          <w:tcPr>
            <w:tcW w:w="2836" w:type="dxa"/>
            <w:tcBorders>
              <w:top w:val="nil"/>
              <w:left w:val="single" w:sz="4" w:space="0" w:color="auto"/>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RF (5G – ≥ 10 GHz)</w:t>
            </w:r>
          </w:p>
        </w:tc>
        <w:tc>
          <w:tcPr>
            <w:tcW w:w="2126"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10 W/m² (61 V/m)</w:t>
            </w:r>
          </w:p>
        </w:tc>
        <w:tc>
          <w:tcPr>
            <w:tcW w:w="2490"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9D4DEB">
            <w:pPr>
              <w:ind w:left="67" w:firstLine="0"/>
              <w:jc w:val="center"/>
              <w:rPr>
                <w:rFonts w:ascii="Calibri" w:eastAsia="Times New Roman" w:hAnsi="Calibri" w:cs="Calibri"/>
                <w:color w:val="000000"/>
                <w:lang w:eastAsia="fr-FR"/>
              </w:rPr>
            </w:pPr>
            <w:r w:rsidRPr="009A5062">
              <w:rPr>
                <w:rFonts w:ascii="Calibri" w:eastAsia="Times New Roman" w:hAnsi="Calibri" w:cs="Calibri"/>
                <w:color w:val="000000"/>
                <w:lang w:eastAsia="fr-FR"/>
              </w:rPr>
              <w:t>&lt; 0.1 µW/cm² (0.6 V/m)</w:t>
            </w:r>
          </w:p>
        </w:tc>
        <w:tc>
          <w:tcPr>
            <w:tcW w:w="2471"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Propose ≤ 0.1 µW/cm²</w:t>
            </w:r>
          </w:p>
        </w:tc>
      </w:tr>
      <w:tr w:rsidR="008645DF" w:rsidRPr="009A5062" w:rsidTr="009D4DEB">
        <w:trPr>
          <w:trHeight w:val="600"/>
        </w:trPr>
        <w:tc>
          <w:tcPr>
            <w:tcW w:w="2836" w:type="dxa"/>
            <w:tcBorders>
              <w:top w:val="nil"/>
              <w:left w:val="single" w:sz="4" w:space="0" w:color="auto"/>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Exposition nocturne</w:t>
            </w:r>
          </w:p>
        </w:tc>
        <w:tc>
          <w:tcPr>
            <w:tcW w:w="2126"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Pas prise en compte</w:t>
            </w:r>
          </w:p>
        </w:tc>
        <w:tc>
          <w:tcPr>
            <w:tcW w:w="2490" w:type="dxa"/>
            <w:tcBorders>
              <w:top w:val="nil"/>
              <w:left w:val="nil"/>
              <w:bottom w:val="single" w:sz="4" w:space="0" w:color="auto"/>
              <w:right w:val="single" w:sz="4" w:space="0" w:color="auto"/>
            </w:tcBorders>
            <w:shd w:val="clear" w:color="auto" w:fill="auto"/>
            <w:noWrap/>
            <w:vAlign w:val="center"/>
            <w:hideMark/>
          </w:tcPr>
          <w:p w:rsidR="008645DF" w:rsidRPr="009A5062" w:rsidRDefault="009D4DEB" w:rsidP="009D4DEB">
            <w:pPr>
              <w:rPr>
                <w:rFonts w:ascii="Calibri" w:eastAsia="Times New Roman" w:hAnsi="Calibri" w:cs="Calibri"/>
                <w:color w:val="000000"/>
                <w:lang w:eastAsia="fr-FR"/>
              </w:rPr>
            </w:pPr>
            <w:r>
              <w:rPr>
                <w:rFonts w:ascii="Calibri" w:eastAsia="Times New Roman" w:hAnsi="Calibri" w:cs="Calibri"/>
                <w:color w:val="000000"/>
                <w:lang w:eastAsia="fr-FR"/>
              </w:rPr>
              <w:t xml:space="preserve">&lt; 0.01 </w:t>
            </w:r>
            <w:r w:rsidR="008645DF" w:rsidRPr="009A5062">
              <w:rPr>
                <w:rFonts w:ascii="Calibri" w:eastAsia="Times New Roman" w:hAnsi="Calibri" w:cs="Calibri"/>
                <w:color w:val="000000"/>
                <w:lang w:eastAsia="fr-FR"/>
              </w:rPr>
              <w:t>µW/cm² (0.2 V/m)</w:t>
            </w:r>
          </w:p>
        </w:tc>
        <w:tc>
          <w:tcPr>
            <w:tcW w:w="2471"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9D4DEB">
            <w:pPr>
              <w:rPr>
                <w:rFonts w:ascii="Calibri" w:eastAsia="Times New Roman" w:hAnsi="Calibri" w:cs="Calibri"/>
                <w:color w:val="000000"/>
                <w:lang w:eastAsia="fr-FR"/>
              </w:rPr>
            </w:pPr>
            <w:r w:rsidRPr="009A5062">
              <w:rPr>
                <w:rFonts w:ascii="Calibri" w:eastAsia="Times New Roman" w:hAnsi="Calibri" w:cs="Calibri"/>
                <w:color w:val="000000"/>
                <w:lang w:eastAsia="fr-FR"/>
              </w:rPr>
              <w:t>&lt; 0.01 µW/cm² (0.2 V/m)</w:t>
            </w:r>
          </w:p>
        </w:tc>
      </w:tr>
      <w:tr w:rsidR="008645DF" w:rsidRPr="009A5062" w:rsidTr="009D4DEB">
        <w:trPr>
          <w:trHeight w:val="600"/>
        </w:trPr>
        <w:tc>
          <w:tcPr>
            <w:tcW w:w="2836" w:type="dxa"/>
            <w:tcBorders>
              <w:top w:val="nil"/>
              <w:left w:val="single" w:sz="4" w:space="0" w:color="auto"/>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Exposition idéale / sensible</w:t>
            </w:r>
          </w:p>
        </w:tc>
        <w:tc>
          <w:tcPr>
            <w:tcW w:w="2126"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8645DF">
            <w:pPr>
              <w:rPr>
                <w:rFonts w:ascii="Calibri" w:eastAsia="Times New Roman" w:hAnsi="Calibri" w:cs="Calibri"/>
                <w:color w:val="000000"/>
                <w:lang w:eastAsia="fr-FR"/>
              </w:rPr>
            </w:pPr>
            <w:r w:rsidRPr="009A5062">
              <w:rPr>
                <w:rFonts w:ascii="Calibri" w:eastAsia="Times New Roman" w:hAnsi="Calibri" w:cs="Calibri"/>
                <w:color w:val="000000"/>
                <w:lang w:eastAsia="fr-FR"/>
              </w:rPr>
              <w:t>Pas prise en compte</w:t>
            </w:r>
          </w:p>
        </w:tc>
        <w:tc>
          <w:tcPr>
            <w:tcW w:w="2490"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9D4DEB">
            <w:pPr>
              <w:rPr>
                <w:rFonts w:ascii="Calibri" w:eastAsia="Times New Roman" w:hAnsi="Calibri" w:cs="Calibri"/>
                <w:color w:val="000000"/>
                <w:lang w:eastAsia="fr-FR"/>
              </w:rPr>
            </w:pPr>
            <w:r w:rsidRPr="009A5062">
              <w:rPr>
                <w:rFonts w:ascii="Calibri" w:eastAsia="Times New Roman" w:hAnsi="Calibri" w:cs="Calibri"/>
                <w:color w:val="000000"/>
                <w:lang w:eastAsia="fr-FR"/>
              </w:rPr>
              <w:t>&lt; 0.01 µW/cm² (0.2 V/m)</w:t>
            </w:r>
          </w:p>
        </w:tc>
        <w:tc>
          <w:tcPr>
            <w:tcW w:w="2471" w:type="dxa"/>
            <w:tcBorders>
              <w:top w:val="nil"/>
              <w:left w:val="nil"/>
              <w:bottom w:val="single" w:sz="4" w:space="0" w:color="auto"/>
              <w:right w:val="single" w:sz="4" w:space="0" w:color="auto"/>
            </w:tcBorders>
            <w:shd w:val="clear" w:color="auto" w:fill="auto"/>
            <w:noWrap/>
            <w:vAlign w:val="center"/>
            <w:hideMark/>
          </w:tcPr>
          <w:p w:rsidR="008645DF" w:rsidRPr="009A5062" w:rsidRDefault="008645DF" w:rsidP="009D4DEB">
            <w:pPr>
              <w:rPr>
                <w:rFonts w:ascii="Calibri" w:eastAsia="Times New Roman" w:hAnsi="Calibri" w:cs="Calibri"/>
                <w:color w:val="000000"/>
                <w:lang w:eastAsia="fr-FR"/>
              </w:rPr>
            </w:pPr>
            <w:r w:rsidRPr="009A5062">
              <w:rPr>
                <w:rFonts w:ascii="Calibri" w:eastAsia="Times New Roman" w:hAnsi="Calibri" w:cs="Calibri"/>
                <w:color w:val="000000"/>
                <w:lang w:eastAsia="fr-FR"/>
              </w:rPr>
              <w:t>&lt; 0.01 µW/cm² (0.2 V/m)</w:t>
            </w:r>
          </w:p>
        </w:tc>
      </w:tr>
    </w:tbl>
    <w:p w:rsidR="008645DF" w:rsidRDefault="008645DF" w:rsidP="008645DF">
      <w:pPr>
        <w:pStyle w:val="Paragraphedeliste"/>
        <w:ind w:left="0"/>
        <w:rPr>
          <w:rFonts w:ascii="Arial" w:hAnsi="Arial" w:cs="Arial"/>
          <w:sz w:val="20"/>
          <w:szCs w:val="20"/>
        </w:rPr>
      </w:pPr>
    </w:p>
    <w:p w:rsidR="008645DF" w:rsidRPr="009D4DEB" w:rsidRDefault="008645DF" w:rsidP="009D4DEB">
      <w:pPr>
        <w:pStyle w:val="Paragraphedeliste"/>
        <w:ind w:left="0" w:firstLine="0"/>
        <w:rPr>
          <w:rFonts w:ascii="Arial" w:hAnsi="Arial" w:cs="Arial"/>
          <w:sz w:val="20"/>
          <w:szCs w:val="20"/>
        </w:rPr>
      </w:pPr>
      <w:r w:rsidRPr="009D4DEB">
        <w:rPr>
          <w:rFonts w:ascii="Arial" w:hAnsi="Arial" w:cs="Arial"/>
          <w:sz w:val="20"/>
          <w:szCs w:val="20"/>
        </w:rPr>
        <w:t>Seule l’ICNIRP propose des valeurs-guides différentes pour les travailleurs, bien supérieures, les travailleurs étant considérés comme étant en meilleur état de santé générale et censés mieux contrôler leur exposition.</w:t>
      </w:r>
    </w:p>
    <w:p w:rsidR="008645DF" w:rsidRPr="009D4DEB" w:rsidRDefault="008645DF" w:rsidP="009D4DEB">
      <w:pPr>
        <w:pStyle w:val="Paragraphedeliste"/>
        <w:ind w:left="0" w:firstLine="0"/>
        <w:rPr>
          <w:rFonts w:ascii="Arial" w:hAnsi="Arial" w:cs="Arial"/>
          <w:sz w:val="20"/>
          <w:szCs w:val="20"/>
        </w:rPr>
      </w:pPr>
      <w:r w:rsidRPr="009D4DEB">
        <w:rPr>
          <w:rFonts w:ascii="Arial" w:hAnsi="Arial" w:cs="Arial"/>
          <w:sz w:val="20"/>
          <w:szCs w:val="20"/>
        </w:rPr>
        <w:t>Ex : 22 W/m² (90 V/m) pour 900 MHz</w:t>
      </w:r>
    </w:p>
    <w:p w:rsidR="008645DF" w:rsidRDefault="008645DF" w:rsidP="008645DF">
      <w:pPr>
        <w:rPr>
          <w:rFonts w:ascii="Arial" w:hAnsi="Arial" w:cs="Arial"/>
          <w:sz w:val="20"/>
          <w:szCs w:val="20"/>
        </w:rPr>
      </w:pPr>
      <w:r>
        <w:rPr>
          <w:rFonts w:ascii="Arial" w:hAnsi="Arial" w:cs="Arial"/>
          <w:sz w:val="20"/>
          <w:szCs w:val="20"/>
        </w:rPr>
        <w:br w:type="page"/>
      </w:r>
    </w:p>
    <w:p w:rsidR="008645DF" w:rsidRDefault="008645DF" w:rsidP="008645DF">
      <w:pPr>
        <w:jc w:val="center"/>
        <w:rPr>
          <w:rFonts w:ascii="Arial" w:hAnsi="Arial" w:cs="Arial"/>
          <w:b/>
          <w:sz w:val="24"/>
          <w:szCs w:val="24"/>
          <w:u w:val="single"/>
        </w:rPr>
      </w:pPr>
      <w:r w:rsidRPr="00902DBD">
        <w:rPr>
          <w:rFonts w:ascii="Arial" w:hAnsi="Arial" w:cs="Arial"/>
          <w:b/>
          <w:sz w:val="24"/>
          <w:szCs w:val="24"/>
          <w:u w:val="single"/>
        </w:rPr>
        <w:lastRenderedPageBreak/>
        <w:t>Bibliographie</w:t>
      </w:r>
      <w:r>
        <w:rPr>
          <w:rFonts w:ascii="Arial" w:hAnsi="Arial" w:cs="Arial"/>
          <w:b/>
          <w:sz w:val="24"/>
          <w:szCs w:val="24"/>
          <w:u w:val="single"/>
        </w:rPr>
        <w:t xml:space="preserve"> / Sources</w:t>
      </w:r>
    </w:p>
    <w:p w:rsidR="008645DF" w:rsidRPr="00902DBD" w:rsidRDefault="008645DF" w:rsidP="008645DF">
      <w:pPr>
        <w:jc w:val="center"/>
        <w:rPr>
          <w:rFonts w:ascii="Arial" w:hAnsi="Arial" w:cs="Arial"/>
          <w:b/>
          <w:sz w:val="24"/>
          <w:szCs w:val="24"/>
          <w:u w:val="single"/>
        </w:rPr>
      </w:pPr>
    </w:p>
    <w:p w:rsidR="008645DF" w:rsidRPr="00A37874" w:rsidRDefault="008645DF" w:rsidP="009D4DEB">
      <w:pPr>
        <w:ind w:left="0" w:firstLine="0"/>
        <w:rPr>
          <w:rFonts w:ascii="Arial" w:hAnsi="Arial" w:cs="Arial"/>
          <w:sz w:val="20"/>
          <w:szCs w:val="20"/>
        </w:rPr>
      </w:pPr>
    </w:p>
    <w:p w:rsidR="008645DF" w:rsidRPr="00CA670D" w:rsidRDefault="008645DF" w:rsidP="009D4DEB">
      <w:pPr>
        <w:ind w:left="0" w:firstLine="0"/>
        <w:rPr>
          <w:rFonts w:ascii="Arial" w:hAnsi="Arial" w:cs="Arial"/>
          <w:sz w:val="20"/>
          <w:szCs w:val="20"/>
        </w:rPr>
      </w:pPr>
      <w:r w:rsidRPr="00CA670D">
        <w:rPr>
          <w:rFonts w:ascii="Arial" w:hAnsi="Arial" w:cs="Arial"/>
          <w:sz w:val="20"/>
          <w:szCs w:val="20"/>
        </w:rPr>
        <w:t xml:space="preserve">. Shima Abtin, Fatemehsadat Seyedaghamiri, Zahra Aalidaeijavadi, Amir Mohammad Farrokhi, Fazel Moshrefi, Tayebeh Ziveh, Mohammad Ismail Zibaii, Hadi Aliakbarian, Mostafa Rezaei-Tavirani, Abbas Haghparast,  </w:t>
      </w:r>
      <w:r w:rsidRPr="00CA670D">
        <w:rPr>
          <w:rFonts w:ascii="Arial" w:hAnsi="Arial" w:cs="Arial"/>
          <w:i/>
          <w:sz w:val="20"/>
          <w:szCs w:val="20"/>
        </w:rPr>
        <w:t>A review on the consequences of molecular and genomic alterations following exposure to electromagnetic fields: Remodeling of neuronal network and cognitive changes</w:t>
      </w:r>
      <w:r w:rsidRPr="00CA670D">
        <w:rPr>
          <w:rFonts w:ascii="Arial" w:hAnsi="Arial" w:cs="Arial"/>
          <w:sz w:val="20"/>
          <w:szCs w:val="20"/>
        </w:rPr>
        <w:t>,Brain Research Bulletin, Volume 217, 2024,111090,ISSN 0361-9230,</w:t>
      </w:r>
    </w:p>
    <w:p w:rsidR="008645DF" w:rsidRPr="00902DBD" w:rsidRDefault="00EE1B1E" w:rsidP="009D4DEB">
      <w:pPr>
        <w:ind w:left="0" w:firstLine="0"/>
        <w:rPr>
          <w:rFonts w:ascii="Arial" w:hAnsi="Arial" w:cs="Arial"/>
          <w:sz w:val="20"/>
          <w:szCs w:val="20"/>
        </w:rPr>
      </w:pPr>
      <w:hyperlink r:id="rId97" w:history="1">
        <w:r w:rsidR="008645DF" w:rsidRPr="00902DBD">
          <w:rPr>
            <w:rStyle w:val="Lienhypertexte"/>
            <w:rFonts w:ascii="Arial" w:hAnsi="Arial" w:cs="Arial"/>
            <w:sz w:val="20"/>
            <w:szCs w:val="20"/>
          </w:rPr>
          <w:t>https://doi.org/10.1016/j.brainresbull.2024.111090</w:t>
        </w:r>
      </w:hyperlink>
      <w:r w:rsidR="008645DF" w:rsidRPr="00902DBD">
        <w:rPr>
          <w:rFonts w:ascii="Arial" w:hAnsi="Arial" w:cs="Arial"/>
          <w:sz w:val="20"/>
          <w:szCs w:val="20"/>
        </w:rPr>
        <w:t>.</w:t>
      </w:r>
    </w:p>
    <w:p w:rsidR="008645DF" w:rsidRPr="00902DBD" w:rsidRDefault="008645DF" w:rsidP="009D4DEB">
      <w:pPr>
        <w:ind w:left="0" w:firstLine="0"/>
        <w:rPr>
          <w:rFonts w:ascii="Arial" w:hAnsi="Arial" w:cs="Arial"/>
          <w:sz w:val="20"/>
          <w:szCs w:val="20"/>
        </w:rPr>
      </w:pPr>
    </w:p>
    <w:p w:rsidR="008645DF" w:rsidRPr="00902DBD" w:rsidRDefault="008645DF" w:rsidP="009D4DEB">
      <w:pPr>
        <w:ind w:left="0" w:firstLine="0"/>
        <w:rPr>
          <w:rFonts w:ascii="Arial" w:hAnsi="Arial" w:cs="Arial"/>
          <w:sz w:val="20"/>
          <w:szCs w:val="20"/>
        </w:rPr>
      </w:pPr>
      <w:r w:rsidRPr="00902DBD">
        <w:rPr>
          <w:rFonts w:ascii="Arial" w:hAnsi="Arial" w:cs="Arial"/>
          <w:sz w:val="20"/>
          <w:szCs w:val="20"/>
        </w:rPr>
        <w:t xml:space="preserve">. Appel de Friboug, du 9 octobre 2002 </w:t>
      </w:r>
      <w:hyperlink r:id="rId98" w:history="1">
        <w:r w:rsidRPr="00902DBD">
          <w:rPr>
            <w:rStyle w:val="Lienhypertexte"/>
            <w:rFonts w:ascii="Arial" w:hAnsi="Arial" w:cs="Arial"/>
            <w:sz w:val="20"/>
            <w:szCs w:val="20"/>
          </w:rPr>
          <w:t>Microsoft Word - Appell-021016-france.doc</w:t>
        </w:r>
      </w:hyperlink>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Appel de Reykjavik, du 24 février 2017 </w:t>
      </w:r>
      <w:hyperlink r:id="rId99" w:history="1">
        <w:r w:rsidRPr="00902DBD">
          <w:rPr>
            <w:rStyle w:val="Lienhypertexte"/>
            <w:rFonts w:ascii="Arial" w:hAnsi="Arial" w:cs="Arial"/>
            <w:sz w:val="20"/>
            <w:szCs w:val="20"/>
          </w:rPr>
          <w:t>Reykjavik_Appeal_170224.pdf</w:t>
        </w:r>
      </w:hyperlink>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Appel international du 11 mai 2015 à l’OMS et l’ONU </w:t>
      </w:r>
      <w:hyperlink r:id="rId100" w:history="1">
        <w:r w:rsidRPr="00902DBD">
          <w:rPr>
            <w:rStyle w:val="Lienhypertexte"/>
            <w:rFonts w:ascii="Arial" w:hAnsi="Arial" w:cs="Arial"/>
            <w:sz w:val="20"/>
            <w:szCs w:val="20"/>
          </w:rPr>
          <w:t>Appel-international-du-11-Mai-2015-justifie.pdf</w:t>
        </w:r>
      </w:hyperlink>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Avis de l’AFSSET, Les radiofréquences, mise à jour de l’expertise relative aux radiofréquences, 2009</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ANSES, Radiofréquences et cancer, rapport mis en consultation publique, 2024, version non-définitive : </w:t>
      </w:r>
      <w:hyperlink r:id="rId101" w:anchor=":~:text=Apr%C3%A8s%20un%20travail%20d%E2%80%99expertise%20d%C3%A9di%C3%A9%20aux%20effets%20sanitaires,aux%20champs%20%C3%A9lectromagn%C3%A9tiques%20radiofr%C3%A9quences%20sur%20l%E2%80%99apparition%20du%20cancer." w:history="1">
        <w:r w:rsidRPr="00902DBD">
          <w:rPr>
            <w:rStyle w:val="Lienhypertexte"/>
            <w:rFonts w:ascii="Arial" w:hAnsi="Arial" w:cs="Arial"/>
            <w:sz w:val="20"/>
            <w:szCs w:val="20"/>
          </w:rPr>
          <w:t>Consultation publique de l’Agence nationale de sécurité sanitaire de l’alimentation, de l’environnement et du travail sur son rapport d’expertise « Radiofréquences et cancer » | Anses - Agence nationale de sécurité sanitaire de l’alimentation, de l’environnement et du travail</w:t>
        </w:r>
      </w:hyperlink>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ANSES </w:t>
      </w:r>
      <w:r w:rsidRPr="00902DBD">
        <w:rPr>
          <w:rFonts w:ascii="Arial" w:hAnsi="Arial" w:cs="Arial"/>
          <w:i/>
          <w:sz w:val="20"/>
          <w:szCs w:val="20"/>
        </w:rPr>
        <w:t>Évaluation des risques du bisphénol A (BPA) pour la santé humaine Tome 1</w:t>
      </w:r>
      <w:r w:rsidRPr="00902DBD">
        <w:rPr>
          <w:rFonts w:ascii="Arial" w:hAnsi="Arial" w:cs="Arial"/>
          <w:sz w:val="20"/>
          <w:szCs w:val="20"/>
        </w:rPr>
        <w:t xml:space="preserve"> (2013), </w:t>
      </w:r>
      <w:hyperlink r:id="rId102" w:history="1">
        <w:r w:rsidRPr="00902DBD">
          <w:rPr>
            <w:rStyle w:val="Lienhypertexte"/>
            <w:rFonts w:ascii="Arial" w:hAnsi="Arial" w:cs="Arial"/>
            <w:sz w:val="20"/>
            <w:szCs w:val="20"/>
          </w:rPr>
          <w:t>LIEN VERS SAI.FR.03 Rapport d'expertise collective au sein de l'Anses</w:t>
        </w:r>
      </w:hyperlink>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d'Arsonval JA (1893): Action physiologique de courants alternatifs a grande fréquence. Arch. Physiol. Norm. et Pathol. 5: 4018, 78090. </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d'Arsonval JA (1896): Dispositifs pour la mesure des courants alternatifs de toutes fréquences. C. R. Soc. Biol. (Paris) 2: 4501.</w:t>
      </w:r>
    </w:p>
    <w:p w:rsidR="008645DF" w:rsidRPr="00902DBD" w:rsidRDefault="008645DF" w:rsidP="009D4DEB">
      <w:pPr>
        <w:ind w:left="0" w:firstLine="0"/>
        <w:rPr>
          <w:rFonts w:ascii="Arial" w:hAnsi="Arial" w:cs="Arial"/>
          <w:sz w:val="20"/>
          <w:szCs w:val="20"/>
        </w:rPr>
      </w:pPr>
    </w:p>
    <w:p w:rsidR="008645DF" w:rsidRPr="00902DBD" w:rsidRDefault="008645DF" w:rsidP="009D4DEB">
      <w:pPr>
        <w:ind w:left="0" w:firstLine="0"/>
        <w:rPr>
          <w:rFonts w:ascii="Arial" w:hAnsi="Arial" w:cs="Arial"/>
          <w:sz w:val="20"/>
          <w:szCs w:val="20"/>
        </w:rPr>
      </w:pPr>
      <w:r w:rsidRPr="00902DBD">
        <w:rPr>
          <w:rFonts w:ascii="Arial" w:hAnsi="Arial" w:cs="Arial"/>
          <w:sz w:val="20"/>
          <w:szCs w:val="20"/>
        </w:rPr>
        <w:t xml:space="preserve">. Nathalie Barbe, </w:t>
      </w:r>
      <w:r w:rsidRPr="00902DBD">
        <w:rPr>
          <w:rFonts w:ascii="Arial" w:hAnsi="Arial" w:cs="Arial"/>
          <w:i/>
          <w:sz w:val="20"/>
          <w:szCs w:val="20"/>
        </w:rPr>
        <w:t>Agriculteurs sous tension : une omerta française</w:t>
      </w:r>
      <w:r w:rsidRPr="00902DBD">
        <w:rPr>
          <w:rFonts w:ascii="Arial" w:hAnsi="Arial" w:cs="Arial"/>
          <w:sz w:val="20"/>
          <w:szCs w:val="20"/>
        </w:rPr>
        <w:t>,</w:t>
      </w:r>
      <w:r>
        <w:rPr>
          <w:rFonts w:ascii="Arial" w:hAnsi="Arial" w:cs="Arial"/>
          <w:sz w:val="20"/>
          <w:szCs w:val="20"/>
        </w:rPr>
        <w:t xml:space="preserve"> documentaire </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Belpomme, Dominique. </w:t>
      </w:r>
      <w:r w:rsidRPr="00902DBD">
        <w:rPr>
          <w:rStyle w:val="Accentuation"/>
          <w:rFonts w:ascii="Arial" w:hAnsi="Arial" w:cs="Arial"/>
          <w:sz w:val="20"/>
          <w:szCs w:val="20"/>
        </w:rPr>
        <w:t>Comment naissent les maladies</w:t>
      </w:r>
      <w:r w:rsidRPr="00902DBD">
        <w:rPr>
          <w:rFonts w:ascii="Arial" w:hAnsi="Arial" w:cs="Arial"/>
          <w:sz w:val="20"/>
          <w:szCs w:val="20"/>
        </w:rPr>
        <w:t>. Les Liens qui Libèrent, 2016</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Belpomme, D., Campagnac, C., &amp; Irigaray, P. (2015). Reliable disease biomarkers characterizing and identifying electrohypersensitivity and multiple chemical sensitivity as two etiopathogenic aspects of a unique pathological disorder. </w:t>
      </w:r>
      <w:r w:rsidRPr="00902DBD">
        <w:rPr>
          <w:rStyle w:val="Accentuation"/>
          <w:rFonts w:ascii="Arial" w:hAnsi="Arial" w:cs="Arial"/>
          <w:sz w:val="20"/>
          <w:szCs w:val="20"/>
        </w:rPr>
        <w:t>Reviews on Environmental Health</w:t>
      </w:r>
      <w:r w:rsidRPr="00902DBD">
        <w:rPr>
          <w:rFonts w:ascii="Arial" w:hAnsi="Arial" w:cs="Arial"/>
          <w:sz w:val="20"/>
          <w:szCs w:val="20"/>
        </w:rPr>
        <w:t>, 30(4), 251–271.</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color w:val="212121"/>
          <w:sz w:val="20"/>
          <w:szCs w:val="20"/>
          <w:shd w:val="clear" w:color="auto" w:fill="FFFFFF"/>
        </w:rPr>
      </w:pPr>
      <w:r w:rsidRPr="00902DBD">
        <w:rPr>
          <w:rFonts w:ascii="Arial" w:hAnsi="Arial" w:cs="Arial"/>
          <w:sz w:val="20"/>
          <w:szCs w:val="20"/>
        </w:rPr>
        <w:t xml:space="preserve">. </w:t>
      </w:r>
      <w:r w:rsidRPr="00902DBD">
        <w:rPr>
          <w:rFonts w:ascii="Arial" w:hAnsi="Arial" w:cs="Arial"/>
          <w:color w:val="212121"/>
          <w:sz w:val="20"/>
          <w:szCs w:val="20"/>
          <w:shd w:val="clear" w:color="auto" w:fill="FFFFFF"/>
        </w:rPr>
        <w:t>Belyaev I, Dean A, Eger H, Hubmann G, Jandrisovits R, Kern M, Kundi M, Moshammer H, Lercher P, Müller K, Oberfeld G, Ohnsorge P, Pelzmann P, Scheingraber C, Thill R. EUROPAEM EMF Guideline 2016 for the prevention, diagnosis and treatment of EMF-related health problems and illnesses. Rev Environ Health. 2016 Sep 1;31(3):363-97. doi: 10.1515/reveh-2016-0011. PMID: 27454111.</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François Dedieu. Alerte et catastrophe : le cas de la tempête de 1999, un risque scélérat. Sociologie du Travail, 2009, 51, pp.379-401. ff10.1016/j.soctra.2009.06.001ff. ffhal-02054486f</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w:t>
      </w:r>
      <w:r w:rsidRPr="00902DBD">
        <w:rPr>
          <w:rFonts w:ascii="Arial" w:hAnsi="Arial" w:cs="Arial"/>
          <w:color w:val="212121"/>
          <w:sz w:val="20"/>
          <w:szCs w:val="20"/>
          <w:shd w:val="clear" w:color="auto" w:fill="FFFFFF"/>
        </w:rPr>
        <w:t xml:space="preserve">Deng H, Liu L, Tang X, Lu Y, Wang X, Zhao Y, Shi Y. Impact of specific electromagnetic radiation on wakefulness in mice. Proc Natl Acad Sci U S A. 2024 Apr 9;121(15):e2313903121. doi: 10.1073/pnas.2313903121. Epub 2024 Apr 1. PMID: 38557178; PMCID: PMC11009626. : </w:t>
      </w:r>
      <w:hyperlink r:id="rId103" w:history="1">
        <w:r w:rsidRPr="00902DBD">
          <w:rPr>
            <w:rStyle w:val="Lienhypertexte"/>
            <w:rFonts w:ascii="Arial" w:hAnsi="Arial" w:cs="Arial"/>
            <w:sz w:val="20"/>
            <w:szCs w:val="20"/>
            <w:shd w:val="clear" w:color="auto" w:fill="FFFFFF"/>
          </w:rPr>
          <w:t>https://pubmed.ncbi.nlm.nih.gov/38557178/</w:t>
        </w:r>
      </w:hyperlink>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color w:val="212121"/>
          <w:sz w:val="20"/>
          <w:szCs w:val="20"/>
          <w:shd w:val="clear" w:color="auto" w:fill="FFFFFF"/>
        </w:rPr>
      </w:pPr>
      <w:r w:rsidRPr="00902DBD">
        <w:rPr>
          <w:rFonts w:ascii="Arial" w:hAnsi="Arial" w:cs="Arial"/>
          <w:sz w:val="20"/>
          <w:szCs w:val="20"/>
        </w:rPr>
        <w:t xml:space="preserve">. </w:t>
      </w:r>
      <w:r w:rsidRPr="00902DBD">
        <w:rPr>
          <w:rFonts w:ascii="Arial" w:hAnsi="Arial" w:cs="Arial"/>
          <w:color w:val="212121"/>
          <w:sz w:val="20"/>
          <w:szCs w:val="20"/>
          <w:shd w:val="clear" w:color="auto" w:fill="FFFFFF"/>
        </w:rPr>
        <w:t>Eberhardt JL, Persson BR, Brun AE, Salford LG, Malmgren LO. Blood-brain barrier permeability and nerve cell damage in rat brain 14 and 28 days after exposure to microwaves from GSM mobile phones. Electromagn Biol Med. 2008;27(3):215-29. doi: 10.1080/15368370802344037. PMID: 18821198.</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color w:val="212121"/>
          <w:sz w:val="20"/>
          <w:szCs w:val="20"/>
          <w:shd w:val="clear" w:color="auto" w:fill="FFFFFF"/>
        </w:rPr>
      </w:pPr>
      <w:r w:rsidRPr="00902DBD">
        <w:rPr>
          <w:rFonts w:ascii="Arial" w:hAnsi="Arial" w:cs="Arial"/>
          <w:sz w:val="20"/>
          <w:szCs w:val="20"/>
        </w:rPr>
        <w:t xml:space="preserve">. </w:t>
      </w:r>
      <w:r w:rsidRPr="00902DBD">
        <w:rPr>
          <w:rFonts w:ascii="Arial" w:hAnsi="Arial" w:cs="Arial"/>
          <w:color w:val="212121"/>
          <w:sz w:val="20"/>
          <w:szCs w:val="20"/>
          <w:shd w:val="clear" w:color="auto" w:fill="FFFFFF"/>
        </w:rPr>
        <w:t>Frank JW, Moskowitz JM, Melnick RL, Hardell L, Philips A, Héroux P, Kelley E. The Systematic Review on RF-EMF Exposure and Cancer by Karipidis et al. (2024) has Serious Flaws that Undermine the Validity of the Study's Conclusions. Environ Int. 2025 Jan;195:109200. doi: 10.1016/j.envint.2024.109200. Epub 2024 Dec 30. PMID: 39741032.</w:t>
      </w:r>
    </w:p>
    <w:p w:rsidR="008645DF" w:rsidRPr="00902DBD" w:rsidRDefault="008645DF" w:rsidP="009D4DEB">
      <w:pPr>
        <w:ind w:left="0" w:firstLine="0"/>
        <w:rPr>
          <w:rFonts w:ascii="Arial" w:hAnsi="Arial" w:cs="Arial"/>
          <w:color w:val="212121"/>
          <w:sz w:val="20"/>
          <w:szCs w:val="20"/>
          <w:shd w:val="clear" w:color="auto" w:fill="FFFFFF"/>
        </w:rPr>
      </w:pPr>
    </w:p>
    <w:p w:rsidR="008645DF" w:rsidRDefault="008645DF" w:rsidP="009D4DEB">
      <w:pPr>
        <w:ind w:left="0" w:firstLine="0"/>
        <w:rPr>
          <w:rFonts w:ascii="Arial" w:hAnsi="Arial" w:cs="Arial"/>
          <w:color w:val="212121"/>
          <w:sz w:val="20"/>
          <w:szCs w:val="20"/>
          <w:shd w:val="clear" w:color="auto" w:fill="FFFFFF"/>
        </w:rPr>
      </w:pPr>
      <w:r w:rsidRPr="00902DBD">
        <w:rPr>
          <w:rFonts w:ascii="Arial" w:hAnsi="Arial" w:cs="Arial"/>
          <w:color w:val="212121"/>
          <w:sz w:val="20"/>
          <w:szCs w:val="20"/>
          <w:shd w:val="clear" w:color="auto" w:fill="FFFFFF"/>
        </w:rPr>
        <w:lastRenderedPageBreak/>
        <w:t xml:space="preserve">. David Gee, </w:t>
      </w:r>
      <w:r w:rsidRPr="00902DBD">
        <w:rPr>
          <w:rFonts w:ascii="Arial" w:hAnsi="Arial" w:cs="Arial"/>
          <w:i/>
          <w:color w:val="212121"/>
          <w:sz w:val="20"/>
          <w:szCs w:val="20"/>
          <w:shd w:val="clear" w:color="auto" w:fill="FFFFFF"/>
        </w:rPr>
        <w:t>Leçons tardives des alertes précoces</w:t>
      </w:r>
      <w:r>
        <w:rPr>
          <w:rFonts w:ascii="Arial" w:hAnsi="Arial" w:cs="Arial"/>
          <w:color w:val="212121"/>
          <w:sz w:val="20"/>
          <w:szCs w:val="20"/>
          <w:shd w:val="clear" w:color="auto" w:fill="FFFFFF"/>
        </w:rPr>
        <w:t>, livre</w:t>
      </w:r>
      <w:r w:rsidRPr="00902DBD">
        <w:rPr>
          <w:rFonts w:ascii="Arial" w:hAnsi="Arial" w:cs="Arial"/>
          <w:color w:val="212121"/>
          <w:sz w:val="20"/>
          <w:szCs w:val="20"/>
          <w:shd w:val="clear" w:color="auto" w:fill="FFFFFF"/>
        </w:rPr>
        <w:t xml:space="preserve"> </w:t>
      </w:r>
      <w:r>
        <w:rPr>
          <w:rFonts w:ascii="Arial" w:hAnsi="Arial" w:cs="Arial"/>
          <w:color w:val="212121"/>
          <w:sz w:val="20"/>
          <w:szCs w:val="20"/>
          <w:shd w:val="clear" w:color="auto" w:fill="FFFFFF"/>
        </w:rPr>
        <w:t>(références non trouvées. Epuisé ?)</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Georgiou, C. D., Kalaitzopoulou, E., Skipitari, M., Papadea, P., Varemmenou, A., Gavriil, V., Sarantopoulou, E., Kollia, Z., &amp; Cefalas, A.-C. (2022). </w:t>
      </w:r>
      <w:r w:rsidRPr="00902DBD">
        <w:rPr>
          <w:rStyle w:val="Accentuation"/>
          <w:rFonts w:ascii="Arial" w:hAnsi="Arial" w:cs="Arial"/>
          <w:sz w:val="20"/>
          <w:szCs w:val="20"/>
        </w:rPr>
        <w:t>Physical differences between man-made and cosmic microwave electromagnetic radiation and their exposure limits, and radiofrequencies as generators of biotoxic free radicals</w:t>
      </w:r>
      <w:r w:rsidRPr="00902DBD">
        <w:rPr>
          <w:rFonts w:ascii="Arial" w:hAnsi="Arial" w:cs="Arial"/>
          <w:sz w:val="20"/>
          <w:szCs w:val="20"/>
        </w:rPr>
        <w:t xml:space="preserve">. </w:t>
      </w:r>
      <w:r w:rsidRPr="00902DBD">
        <w:rPr>
          <w:rStyle w:val="Accentuation"/>
          <w:rFonts w:ascii="Arial" w:hAnsi="Arial" w:cs="Arial"/>
          <w:sz w:val="20"/>
          <w:szCs w:val="20"/>
        </w:rPr>
        <w:t>Radiation, 2</w:t>
      </w:r>
      <w:r w:rsidRPr="00902DBD">
        <w:rPr>
          <w:rFonts w:ascii="Arial" w:hAnsi="Arial" w:cs="Arial"/>
          <w:sz w:val="20"/>
          <w:szCs w:val="20"/>
        </w:rPr>
        <w:t xml:space="preserve">(4), 285–302. </w:t>
      </w:r>
      <w:hyperlink r:id="rId104" w:tgtFrame="_new" w:history="1">
        <w:r w:rsidRPr="00902DBD">
          <w:rPr>
            <w:rStyle w:val="Lienhypertexte"/>
            <w:rFonts w:ascii="Arial" w:hAnsi="Arial" w:cs="Arial"/>
            <w:sz w:val="20"/>
            <w:szCs w:val="20"/>
          </w:rPr>
          <w:t>https://doi.org/10.3390/radiation2040022</w:t>
        </w:r>
      </w:hyperlink>
    </w:p>
    <w:p w:rsidR="008645DF" w:rsidRDefault="008645DF" w:rsidP="009D4DEB">
      <w:pPr>
        <w:ind w:left="0" w:firstLine="0"/>
        <w:rPr>
          <w:rFonts w:ascii="Arial" w:hAnsi="Arial" w:cs="Arial"/>
          <w:sz w:val="20"/>
          <w:szCs w:val="20"/>
        </w:rPr>
      </w:pPr>
    </w:p>
    <w:p w:rsidR="008645DF" w:rsidRPr="00902DBD" w:rsidRDefault="008645DF" w:rsidP="009D4DEB">
      <w:pPr>
        <w:ind w:left="0" w:firstLine="0"/>
        <w:rPr>
          <w:rFonts w:ascii="Arial" w:hAnsi="Arial" w:cs="Arial"/>
          <w:sz w:val="20"/>
          <w:szCs w:val="20"/>
        </w:rPr>
      </w:pPr>
      <w:r w:rsidRPr="00902DBD">
        <w:rPr>
          <w:rFonts w:ascii="Arial" w:hAnsi="Arial" w:cs="Arial"/>
          <w:sz w:val="20"/>
          <w:szCs w:val="20"/>
        </w:rPr>
        <w:t xml:space="preserve">. </w:t>
      </w:r>
      <w:r w:rsidRPr="00902DBD">
        <w:rPr>
          <w:rStyle w:val="relative"/>
          <w:rFonts w:ascii="Arial" w:hAnsi="Arial" w:cs="Arial"/>
          <w:sz w:val="20"/>
          <w:szCs w:val="20"/>
        </w:rPr>
        <w:t xml:space="preserve">Ghosn, R., Villégier, A.-S., Selmaoui, B., Thuróczy, G., &amp; de Sèze, R. (2013). Effets des radiofréquences sur le système nerveux central chez l’homme : EEG, sommeil, cognition, vascularisation. </w:t>
      </w:r>
      <w:r w:rsidRPr="00902DBD">
        <w:rPr>
          <w:rStyle w:val="Accentuation"/>
          <w:rFonts w:ascii="Arial" w:hAnsi="Arial" w:cs="Arial"/>
          <w:sz w:val="20"/>
          <w:szCs w:val="20"/>
        </w:rPr>
        <w:t>Comptes Rendus Physique</w:t>
      </w:r>
      <w:r w:rsidRPr="00902DBD">
        <w:rPr>
          <w:rStyle w:val="relative"/>
          <w:rFonts w:ascii="Arial" w:hAnsi="Arial" w:cs="Arial"/>
          <w:sz w:val="20"/>
          <w:szCs w:val="20"/>
        </w:rPr>
        <w:t xml:space="preserve">, 14(5), 395–401. </w:t>
      </w:r>
      <w:hyperlink r:id="rId105" w:tgtFrame="_new" w:history="1">
        <w:r w:rsidRPr="00902DBD">
          <w:rPr>
            <w:rStyle w:val="Lienhypertexte"/>
            <w:rFonts w:ascii="Arial" w:hAnsi="Arial" w:cs="Arial"/>
            <w:sz w:val="20"/>
            <w:szCs w:val="20"/>
          </w:rPr>
          <w:t>https://doi.org/10.1016/j.crhy.2013.02.004</w:t>
        </w:r>
      </w:hyperlink>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Glaser Z.R., Bibliography of Reported Biological Phenomena ('Effects') and Clinical Manifestations Attributed to Microwave and Radio-Frequency Radiation, Report n°2, Naval Medical Research Institute, USA, 1972 Apr, MF12.524.015-0004B, AD750271  </w:t>
      </w:r>
      <w:hyperlink r:id="rId106" w:history="1">
        <w:r w:rsidRPr="00902DBD">
          <w:rPr>
            <w:rStyle w:val="Lienhypertexte"/>
            <w:rFonts w:ascii="Arial" w:hAnsi="Arial" w:cs="Arial"/>
            <w:sz w:val="20"/>
            <w:szCs w:val="20"/>
          </w:rPr>
          <w:t>Bibliography of Reported Biological Phenomena ('Effects') and Clinical Manifestations Attributed to Microwave and Radio-Frequency Radiation</w:t>
        </w:r>
      </w:hyperlink>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Glaser Z R, Dodge C H, </w:t>
      </w:r>
      <w:r w:rsidRPr="00902DBD">
        <w:rPr>
          <w:rFonts w:ascii="Arial" w:hAnsi="Arial" w:cs="Arial"/>
          <w:caps/>
          <w:sz w:val="20"/>
          <w:szCs w:val="20"/>
        </w:rPr>
        <w:t>Biomedical Aspects of Radio frequency</w:t>
      </w:r>
      <w:r w:rsidRPr="00902DBD">
        <w:rPr>
          <w:rFonts w:ascii="Arial" w:hAnsi="Arial" w:cs="Arial"/>
          <w:sz w:val="20"/>
          <w:szCs w:val="20"/>
        </w:rPr>
        <w:t xml:space="preserve"> AND MICROWAVE RADIATION, Naval Medical Research Institute, USA, 1976 Feb, AD-A045</w:t>
      </w:r>
      <w:r>
        <w:rPr>
          <w:rFonts w:ascii="Arial" w:hAnsi="Arial" w:cs="Arial"/>
          <w:sz w:val="20"/>
          <w:szCs w:val="20"/>
        </w:rPr>
        <w:t> </w:t>
      </w:r>
      <w:r w:rsidRPr="00902DBD">
        <w:rPr>
          <w:rFonts w:ascii="Arial" w:hAnsi="Arial" w:cs="Arial"/>
          <w:sz w:val="20"/>
          <w:szCs w:val="20"/>
        </w:rPr>
        <w:t>044</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color w:val="212121"/>
          <w:sz w:val="20"/>
          <w:szCs w:val="20"/>
          <w:shd w:val="clear" w:color="auto" w:fill="FFFFFF"/>
        </w:rPr>
      </w:pPr>
      <w:r w:rsidRPr="00902DBD">
        <w:rPr>
          <w:rFonts w:ascii="Arial" w:hAnsi="Arial" w:cs="Arial"/>
          <w:sz w:val="20"/>
          <w:szCs w:val="20"/>
        </w:rPr>
        <w:t xml:space="preserve">. </w:t>
      </w:r>
      <w:r w:rsidRPr="00902DBD">
        <w:rPr>
          <w:rFonts w:ascii="Arial" w:hAnsi="Arial" w:cs="Arial"/>
          <w:color w:val="212121"/>
          <w:sz w:val="20"/>
          <w:szCs w:val="20"/>
          <w:shd w:val="clear" w:color="auto" w:fill="FFFFFF"/>
        </w:rPr>
        <w:t>Gupta S, Sharma RS, Singh R. Non-ionizing radiation as possible carcinogen. Int J Environ Health Res. 2022 Apr;32(4):916-940. doi: 10.1080/09603123.2020.1806212. Epub 2020 Sep 4. PMID: 32885667.</w:t>
      </w:r>
    </w:p>
    <w:p w:rsidR="008645DF" w:rsidRPr="00902DBD" w:rsidRDefault="008645DF" w:rsidP="009D4DEB">
      <w:pPr>
        <w:ind w:left="0" w:firstLine="0"/>
        <w:rPr>
          <w:rFonts w:ascii="Arial" w:hAnsi="Arial" w:cs="Arial"/>
          <w:color w:val="212121"/>
          <w:sz w:val="20"/>
          <w:szCs w:val="20"/>
          <w:shd w:val="clear" w:color="auto" w:fill="FFFFFF"/>
        </w:rPr>
      </w:pPr>
    </w:p>
    <w:p w:rsidR="008645DF" w:rsidRDefault="008645DF" w:rsidP="009D4DEB">
      <w:pPr>
        <w:ind w:left="0" w:firstLine="0"/>
        <w:rPr>
          <w:rFonts w:ascii="Arial" w:hAnsi="Arial" w:cs="Arial"/>
          <w:sz w:val="20"/>
          <w:szCs w:val="20"/>
        </w:rPr>
      </w:pPr>
      <w:r w:rsidRPr="00902DBD">
        <w:rPr>
          <w:rFonts w:ascii="Arial" w:hAnsi="Arial" w:cs="Arial"/>
          <w:sz w:val="20"/>
          <w:szCs w:val="20"/>
        </w:rPr>
        <w:t>. Gupta SK, Mesharam MK, Krishnamurthy S. Electromagnetic radiation 2450 MHz exposure causes cognition deficit with mitochondrial dysfunction and activation of intrinsic pathway of apoptosis in rats. J Biosci. (2018) 43:263–76. doi: 10.1007/s12038-018-9744-7</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Hardell, L., Carlberg, M., &amp; Hedendahl, L. K. (2024). </w:t>
      </w:r>
      <w:r w:rsidRPr="00902DBD">
        <w:rPr>
          <w:rStyle w:val="Accentuation"/>
          <w:rFonts w:ascii="Arial" w:hAnsi="Arial" w:cs="Arial"/>
          <w:sz w:val="20"/>
          <w:szCs w:val="20"/>
        </w:rPr>
        <w:t>A critical appraisal of the WHO 2024 systematic review of the effects of RF-EMF exposure on tinnitus, migraine/headache, and non-specific symptoms.</w:t>
      </w:r>
      <w:r w:rsidRPr="00902DBD">
        <w:rPr>
          <w:rFonts w:ascii="Arial" w:hAnsi="Arial" w:cs="Arial"/>
          <w:sz w:val="20"/>
          <w:szCs w:val="20"/>
        </w:rPr>
        <w:br/>
      </w:r>
      <w:r w:rsidRPr="00902DBD">
        <w:rPr>
          <w:rStyle w:val="Accentuation"/>
          <w:rFonts w:ascii="Arial" w:hAnsi="Arial" w:cs="Arial"/>
          <w:sz w:val="20"/>
          <w:szCs w:val="20"/>
        </w:rPr>
        <w:t>Reviews on Environmental Health, 39</w:t>
      </w:r>
      <w:r w:rsidRPr="00902DBD">
        <w:rPr>
          <w:rFonts w:ascii="Arial" w:hAnsi="Arial" w:cs="Arial"/>
          <w:sz w:val="20"/>
          <w:szCs w:val="20"/>
        </w:rPr>
        <w:t xml:space="preserve">(1), 141–148. </w:t>
      </w:r>
      <w:hyperlink r:id="rId107" w:tgtFrame="_new" w:history="1">
        <w:r w:rsidRPr="00902DBD">
          <w:rPr>
            <w:rStyle w:val="Lienhypertexte"/>
            <w:rFonts w:ascii="Arial" w:hAnsi="Arial" w:cs="Arial"/>
            <w:sz w:val="20"/>
            <w:szCs w:val="20"/>
          </w:rPr>
          <w:t>https://doi.org/10.1515/reveh-2024-0069</w:t>
        </w:r>
      </w:hyperlink>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Messaoudi Hafawa. Modélisation Électromagnétique du Phénomène d’Interaction des Ondes GSM avec la Tête Humaine par la Méthode des Circuits Équivalents Généralisés (MoM-GEC) dans un milieu fermé.. Modélisation et simulation. Ecole Nationale d’Ingénieurs de Tunis, 2017. Français. NNT: . tel-01459679</w:t>
      </w:r>
    </w:p>
    <w:p w:rsidR="008645DF" w:rsidRPr="00902DBD" w:rsidRDefault="008645DF" w:rsidP="009D4DEB">
      <w:pPr>
        <w:ind w:left="0" w:firstLine="0"/>
        <w:rPr>
          <w:rFonts w:ascii="Arial" w:hAnsi="Arial" w:cs="Arial"/>
          <w:sz w:val="20"/>
          <w:szCs w:val="20"/>
        </w:rPr>
      </w:pPr>
    </w:p>
    <w:p w:rsidR="008645DF" w:rsidRPr="00CA670D" w:rsidRDefault="008645DF" w:rsidP="009D4DEB">
      <w:pPr>
        <w:ind w:left="0" w:firstLine="0"/>
        <w:rPr>
          <w:rFonts w:ascii="Arial" w:hAnsi="Arial" w:cs="Arial"/>
          <w:sz w:val="20"/>
          <w:szCs w:val="20"/>
          <w:shd w:val="clear" w:color="auto" w:fill="FFFFFF"/>
        </w:rPr>
      </w:pPr>
      <w:r w:rsidRPr="00902DBD">
        <w:rPr>
          <w:rFonts w:ascii="Arial" w:hAnsi="Arial" w:cs="Arial"/>
          <w:sz w:val="20"/>
          <w:szCs w:val="20"/>
        </w:rPr>
        <w:t xml:space="preserve">. </w:t>
      </w:r>
      <w:r w:rsidRPr="00902DBD">
        <w:rPr>
          <w:rStyle w:val="CitationHTML"/>
          <w:rFonts w:ascii="Arial" w:hAnsi="Arial" w:cs="Arial"/>
          <w:sz w:val="20"/>
          <w:szCs w:val="20"/>
        </w:rPr>
        <w:t>Hill, Austin Bradford (1965). « L'environnement et la maladie : association ou causalité ? ». </w:t>
      </w:r>
      <w:hyperlink r:id="rId108" w:tooltip="Actes de la Royal Society of Medicine" w:history="1">
        <w:r w:rsidRPr="00902DBD">
          <w:rPr>
            <w:rStyle w:val="Lienhypertexte"/>
            <w:rFonts w:ascii="Arial" w:hAnsi="Arial" w:cs="Arial"/>
            <w:i/>
            <w:iCs/>
            <w:sz w:val="20"/>
            <w:szCs w:val="20"/>
          </w:rPr>
          <w:t>Actes de la Royal Society of Medicine</w:t>
        </w:r>
      </w:hyperlink>
      <w:r w:rsidRPr="00902DBD">
        <w:rPr>
          <w:rStyle w:val="CitationHTML"/>
          <w:rFonts w:ascii="Arial" w:hAnsi="Arial" w:cs="Arial"/>
          <w:sz w:val="20"/>
          <w:szCs w:val="20"/>
        </w:rPr>
        <w:t> . </w:t>
      </w:r>
      <w:r w:rsidRPr="00CA670D">
        <w:rPr>
          <w:rStyle w:val="CitationHTML"/>
          <w:rFonts w:ascii="Arial" w:hAnsi="Arial" w:cs="Arial"/>
          <w:sz w:val="20"/>
          <w:szCs w:val="20"/>
        </w:rPr>
        <w:t>58 (5) : 295–300.</w:t>
      </w:r>
    </w:p>
    <w:p w:rsidR="008645DF" w:rsidRPr="00CA670D" w:rsidRDefault="008645DF" w:rsidP="009D4DEB">
      <w:pPr>
        <w:ind w:left="0" w:firstLine="0"/>
        <w:rPr>
          <w:rFonts w:ascii="Arial" w:eastAsia="Times New Roman" w:hAnsi="Arial" w:cs="Arial"/>
          <w:sz w:val="20"/>
          <w:szCs w:val="20"/>
          <w:lang w:eastAsia="fr-FR"/>
        </w:rPr>
      </w:pPr>
      <w:r w:rsidRPr="00CA670D">
        <w:rPr>
          <w:rFonts w:ascii="Arial" w:eastAsia="Times New Roman" w:hAnsi="Arial" w:cs="Arial"/>
          <w:sz w:val="20"/>
          <w:szCs w:val="20"/>
          <w:lang w:eastAsia="fr-FR"/>
        </w:rPr>
        <w:t>Hu C, Zuo H, Li Y. Effects of Radiofrequency Electromagnetic Radiation on Neurotransmitters in the Brain. Front Public Health. 2021 Aug 17;9:691880. doi: 10.3389/fpubh.2021.691880. PMID: 34485223; PMCID: PMC8415840.</w:t>
      </w:r>
    </w:p>
    <w:p w:rsidR="008645DF" w:rsidRPr="00CA670D" w:rsidRDefault="008645DF" w:rsidP="009D4DEB">
      <w:pPr>
        <w:ind w:left="0" w:firstLine="0"/>
        <w:rPr>
          <w:rFonts w:ascii="Arial" w:hAnsi="Arial" w:cs="Arial"/>
          <w:sz w:val="20"/>
          <w:szCs w:val="20"/>
          <w:shd w:val="clear" w:color="auto" w:fill="FFFFFF"/>
        </w:rPr>
      </w:pPr>
    </w:p>
    <w:p w:rsidR="008645DF" w:rsidRPr="00CA670D" w:rsidRDefault="008645DF" w:rsidP="009D4DEB">
      <w:pPr>
        <w:ind w:left="0" w:firstLine="0"/>
        <w:rPr>
          <w:rFonts w:ascii="Arial" w:hAnsi="Arial" w:cs="Arial"/>
          <w:sz w:val="20"/>
          <w:szCs w:val="20"/>
          <w:shd w:val="clear" w:color="auto" w:fill="FFFFFF"/>
        </w:rPr>
      </w:pPr>
      <w:r w:rsidRPr="00CA670D">
        <w:rPr>
          <w:rFonts w:ascii="Arial" w:hAnsi="Arial" w:cs="Arial"/>
          <w:sz w:val="20"/>
          <w:szCs w:val="20"/>
          <w:shd w:val="clear" w:color="auto" w:fill="FFFFFF"/>
        </w:rPr>
        <w:t>. International Commission on the Biological Effects of Electromagnetic Fields (ICBE-EMF). Scientific evidence invalidates health assumptions underlying the FCC and ICNIRP exposure limit determinations for radiofrequency radiation: implications for 5G. Environ Health. 2022 Oct 18;21(1):92. doi: 10.1186/s12940-022-00900-9. PMID: 36253855; PMCID: PMC9576312.</w:t>
      </w:r>
    </w:p>
    <w:p w:rsidR="008645DF" w:rsidRPr="00CA670D" w:rsidRDefault="008645DF" w:rsidP="009D4DEB">
      <w:pPr>
        <w:ind w:left="0" w:firstLine="0"/>
        <w:rPr>
          <w:rFonts w:ascii="Arial" w:hAnsi="Arial" w:cs="Arial"/>
          <w:sz w:val="20"/>
          <w:szCs w:val="20"/>
          <w:shd w:val="clear" w:color="auto" w:fill="FFFFFF"/>
        </w:rPr>
      </w:pPr>
    </w:p>
    <w:p w:rsidR="008645DF" w:rsidRDefault="008645DF" w:rsidP="009D4DEB">
      <w:pPr>
        <w:pStyle w:val="Paragraphedeliste"/>
        <w:ind w:left="0" w:firstLine="0"/>
        <w:rPr>
          <w:rFonts w:ascii="Arial" w:hAnsi="Arial" w:cs="Arial"/>
          <w:sz w:val="20"/>
          <w:szCs w:val="20"/>
        </w:rPr>
      </w:pPr>
      <w:r w:rsidRPr="00CA670D">
        <w:rPr>
          <w:rFonts w:ascii="Arial" w:hAnsi="Arial" w:cs="Arial"/>
          <w:sz w:val="20"/>
          <w:szCs w:val="20"/>
        </w:rPr>
        <w:t>. Kumar, N. R., Rana, N., &amp; Kalia, P. (2013). Biochemical changes in</w:t>
      </w:r>
      <w:r w:rsidRPr="00902DBD">
        <w:rPr>
          <w:rFonts w:ascii="Arial" w:hAnsi="Arial" w:cs="Arial"/>
          <w:sz w:val="20"/>
          <w:szCs w:val="20"/>
        </w:rPr>
        <w:t xml:space="preserve"> haemolymph of Apis mellifera L. drone under the influence of cell phone radiations. Journal of Applied and Natural Science, 5(1), 139–141. </w:t>
      </w:r>
      <w:hyperlink r:id="rId109" w:history="1">
        <w:r w:rsidRPr="00EE39E6">
          <w:rPr>
            <w:rStyle w:val="Lienhypertexte"/>
            <w:rFonts w:ascii="Arial" w:hAnsi="Arial" w:cs="Arial"/>
            <w:sz w:val="20"/>
            <w:szCs w:val="20"/>
          </w:rPr>
          <w:t>https://doi.org/10.31018/jans.v5i1.296</w:t>
        </w:r>
      </w:hyperlink>
    </w:p>
    <w:p w:rsidR="008645DF" w:rsidRPr="00902DBD" w:rsidRDefault="008645DF" w:rsidP="009D4DEB">
      <w:pPr>
        <w:ind w:left="0" w:firstLine="0"/>
        <w:rPr>
          <w:rFonts w:ascii="Arial" w:hAnsi="Arial" w:cs="Arial"/>
          <w:sz w:val="20"/>
          <w:szCs w:val="20"/>
        </w:rPr>
      </w:pPr>
    </w:p>
    <w:p w:rsidR="008645DF" w:rsidRPr="00902DBD" w:rsidRDefault="008645DF" w:rsidP="009D4DEB">
      <w:pPr>
        <w:pStyle w:val="Notedebasdepage"/>
        <w:ind w:left="0" w:firstLine="0"/>
        <w:rPr>
          <w:rFonts w:ascii="Arial" w:hAnsi="Arial" w:cs="Arial"/>
        </w:rPr>
      </w:pPr>
      <w:r w:rsidRPr="00902DBD">
        <w:rPr>
          <w:rFonts w:ascii="Arial" w:hAnsi="Arial" w:cs="Arial"/>
        </w:rPr>
        <w:t xml:space="preserve">. I. Lagroye. ÉTUDE DES EFFETS BIOLOGIQUES DES CHAMPS ÉLECTROMAGNÉTIQUES NON INVASIFS. Sciences du Vivant [q-bio]. Ecole pratique des hautes études- EPHE PARIS, 2009. tel-00977980 </w:t>
      </w:r>
      <w:hyperlink r:id="rId110" w:history="1">
        <w:r w:rsidRPr="00902DBD">
          <w:rPr>
            <w:rStyle w:val="Lienhypertexte"/>
            <w:rFonts w:ascii="Arial" w:hAnsi="Arial" w:cs="Arial"/>
          </w:rPr>
          <w:t>ÉTUDE DES EFFETS BIOLOGIQUES DES CHAMPS ÉLECTROMAGNÉTIQUES NON INVASIFS</w:t>
        </w:r>
      </w:hyperlink>
    </w:p>
    <w:p w:rsidR="008645DF" w:rsidRPr="00902DBD" w:rsidRDefault="008645DF" w:rsidP="009D4DEB">
      <w:pPr>
        <w:ind w:left="0" w:firstLine="0"/>
        <w:rPr>
          <w:rFonts w:ascii="Arial" w:hAnsi="Arial" w:cs="Arial"/>
          <w:sz w:val="20"/>
          <w:szCs w:val="20"/>
        </w:rPr>
      </w:pPr>
    </w:p>
    <w:p w:rsidR="008645DF" w:rsidRPr="00902DBD" w:rsidRDefault="008645DF" w:rsidP="009D4DEB">
      <w:pPr>
        <w:ind w:left="0" w:firstLine="0"/>
        <w:rPr>
          <w:rFonts w:ascii="Arial" w:hAnsi="Arial" w:cs="Arial"/>
          <w:sz w:val="20"/>
          <w:szCs w:val="20"/>
        </w:rPr>
      </w:pPr>
      <w:r w:rsidRPr="00902DBD">
        <w:rPr>
          <w:rFonts w:ascii="Arial" w:hAnsi="Arial" w:cs="Arial"/>
          <w:sz w:val="20"/>
          <w:szCs w:val="20"/>
        </w:rPr>
        <w:t xml:space="preserve">. Lentin, Jean-Pierre. </w:t>
      </w:r>
      <w:r w:rsidRPr="00902DBD">
        <w:rPr>
          <w:rFonts w:ascii="Arial" w:hAnsi="Arial" w:cs="Arial"/>
          <w:i/>
          <w:sz w:val="20"/>
          <w:szCs w:val="20"/>
        </w:rPr>
        <w:t>Ces ondes qui tuent, ces ondes qui soignent</w:t>
      </w:r>
      <w:r w:rsidRPr="00902DBD">
        <w:rPr>
          <w:rFonts w:ascii="Arial" w:hAnsi="Arial" w:cs="Arial"/>
          <w:sz w:val="20"/>
          <w:szCs w:val="20"/>
        </w:rPr>
        <w:t>. Albin Michel, 2004</w:t>
      </w:r>
    </w:p>
    <w:p w:rsidR="008645DF" w:rsidRPr="00902DBD" w:rsidRDefault="008645DF" w:rsidP="009D4DEB">
      <w:pPr>
        <w:pStyle w:val="Notedebasdepage"/>
        <w:ind w:left="0" w:firstLine="0"/>
        <w:rPr>
          <w:rFonts w:ascii="Arial" w:hAnsi="Arial" w:cs="Arial"/>
        </w:rPr>
      </w:pPr>
      <w:r w:rsidRPr="00902DBD">
        <w:rPr>
          <w:rFonts w:ascii="Arial" w:hAnsi="Arial" w:cs="Arial"/>
        </w:rPr>
        <w:t xml:space="preserve">. </w:t>
      </w:r>
      <w:r w:rsidRPr="00902DBD">
        <w:rPr>
          <w:rFonts w:ascii="Arial" w:hAnsi="Arial" w:cs="Arial"/>
          <w:shd w:val="clear" w:color="auto" w:fill="FFFFFF"/>
        </w:rPr>
        <w:t>Liu L, Huang B, Lu Y, Zhao Y, Tang X, Shi Y. Interactions between electromagnetic radiation and biological systems. iScience. 2024 Feb 10;27(3):109201. doi: 10.1016/j.isci.2024.109201. PMID: 38433903; PMCID: PMC10906530.</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CA670D">
        <w:rPr>
          <w:rFonts w:ascii="Arial" w:hAnsi="Arial" w:cs="Arial"/>
          <w:sz w:val="20"/>
          <w:szCs w:val="20"/>
        </w:rPr>
        <w:t xml:space="preserve">. Maschi, Jean-Pierre. </w:t>
      </w:r>
      <w:r w:rsidRPr="00CA670D">
        <w:rPr>
          <w:rFonts w:ascii="Arial" w:hAnsi="Arial" w:cs="Arial"/>
          <w:i/>
          <w:sz w:val="20"/>
          <w:szCs w:val="20"/>
        </w:rPr>
        <w:t>Combat pour une idée, La pollution électromagnétique</w:t>
      </w:r>
      <w:r w:rsidRPr="00CA670D">
        <w:rPr>
          <w:rFonts w:ascii="Arial" w:hAnsi="Arial" w:cs="Arial"/>
          <w:sz w:val="20"/>
          <w:szCs w:val="20"/>
        </w:rPr>
        <w:t>. France Europe Editions,</w:t>
      </w:r>
      <w:r w:rsidRPr="00902DBD">
        <w:rPr>
          <w:rFonts w:ascii="Arial" w:hAnsi="Arial" w:cs="Arial"/>
          <w:sz w:val="20"/>
          <w:szCs w:val="20"/>
        </w:rPr>
        <w:t xml:space="preserve"> 2005</w:t>
      </w:r>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Kanu Megha, Pravin Suryakantrao Deshmukh, Basu Dev Banerjee, Ashok Kumar Tripathi, Rafat Ahmed, Mahesh Pandurang Abegaonkar, Low intensity microwave radiation induced oxidative stress, inflammatory </w:t>
      </w:r>
      <w:r w:rsidRPr="00902DBD">
        <w:rPr>
          <w:rFonts w:ascii="Arial" w:hAnsi="Arial" w:cs="Arial"/>
          <w:sz w:val="20"/>
          <w:szCs w:val="20"/>
        </w:rPr>
        <w:lastRenderedPageBreak/>
        <w:t xml:space="preserve">response and DNA damage in rat brain, NeuroToxicology, Volume 51, 2015, Pages 158-165, ISSN 0161-813X, </w:t>
      </w:r>
      <w:hyperlink r:id="rId111" w:history="1">
        <w:r w:rsidRPr="00902DBD">
          <w:rPr>
            <w:rStyle w:val="Lienhypertexte"/>
            <w:rFonts w:ascii="Arial" w:hAnsi="Arial" w:cs="Arial"/>
            <w:sz w:val="20"/>
            <w:szCs w:val="20"/>
          </w:rPr>
          <w:t>https://doi.org/10.1016/j.neuro.2015.10.009</w:t>
        </w:r>
      </w:hyperlink>
      <w:r w:rsidRPr="00902DBD">
        <w:rPr>
          <w:rFonts w:ascii="Arial" w:hAnsi="Arial" w:cs="Arial"/>
          <w:sz w:val="20"/>
          <w:szCs w:val="20"/>
        </w:rPr>
        <w:t>.</w:t>
      </w:r>
    </w:p>
    <w:p w:rsidR="008645DF" w:rsidRDefault="008645DF" w:rsidP="009D4DEB">
      <w:pPr>
        <w:ind w:left="0" w:firstLine="0"/>
        <w:rPr>
          <w:rFonts w:ascii="Arial" w:hAnsi="Arial" w:cs="Arial"/>
          <w:sz w:val="20"/>
          <w:szCs w:val="20"/>
        </w:rPr>
      </w:pPr>
    </w:p>
    <w:p w:rsidR="008645DF" w:rsidRPr="00CA670D" w:rsidRDefault="008645DF" w:rsidP="009D4DEB">
      <w:pPr>
        <w:ind w:left="0" w:firstLine="0"/>
        <w:rPr>
          <w:rFonts w:ascii="Arial" w:hAnsi="Arial" w:cs="Arial"/>
          <w:sz w:val="20"/>
          <w:szCs w:val="20"/>
        </w:rPr>
      </w:pPr>
      <w:r w:rsidRPr="00902DBD">
        <w:rPr>
          <w:rFonts w:ascii="Arial" w:hAnsi="Arial" w:cs="Arial"/>
          <w:sz w:val="20"/>
          <w:szCs w:val="20"/>
        </w:rPr>
        <w:t xml:space="preserve">. </w:t>
      </w:r>
      <w:r w:rsidRPr="00902DBD">
        <w:rPr>
          <w:rFonts w:ascii="Arial" w:hAnsi="Arial" w:cs="Arial"/>
          <w:sz w:val="20"/>
          <w:szCs w:val="20"/>
          <w:shd w:val="clear" w:color="auto" w:fill="FFFFFF"/>
        </w:rPr>
        <w:t xml:space="preserve">Melnick, Ronald. Regarding ICNIRP’S Evaluation of the National Toxicology Program’s </w:t>
      </w:r>
      <w:r w:rsidRPr="00CA670D">
        <w:rPr>
          <w:rFonts w:ascii="Arial" w:hAnsi="Arial" w:cs="Arial"/>
          <w:sz w:val="20"/>
          <w:szCs w:val="20"/>
          <w:shd w:val="clear" w:color="auto" w:fill="FFFFFF"/>
        </w:rPr>
        <w:t>Carcinogenicity Studies on Radiofrequency Electromagnetic Fields. Health Physics 118(6):p 678-682, June 2020. | DOI: 10.1097/HP.0000000000001268</w:t>
      </w:r>
    </w:p>
    <w:p w:rsidR="008645DF" w:rsidRPr="00CA670D" w:rsidRDefault="008645DF" w:rsidP="009D4DEB">
      <w:pPr>
        <w:ind w:left="0" w:firstLine="0"/>
        <w:rPr>
          <w:rFonts w:ascii="Arial" w:hAnsi="Arial" w:cs="Arial"/>
          <w:sz w:val="20"/>
          <w:szCs w:val="20"/>
        </w:rPr>
      </w:pPr>
    </w:p>
    <w:p w:rsidR="008645DF" w:rsidRPr="00CA670D" w:rsidRDefault="008645DF" w:rsidP="009D4DEB">
      <w:pPr>
        <w:ind w:left="0" w:firstLine="0"/>
        <w:rPr>
          <w:rFonts w:ascii="Arial" w:hAnsi="Arial" w:cs="Arial"/>
          <w:sz w:val="20"/>
          <w:szCs w:val="20"/>
          <w:shd w:val="clear" w:color="auto" w:fill="FFFFFF"/>
        </w:rPr>
      </w:pPr>
      <w:r w:rsidRPr="00CA670D">
        <w:rPr>
          <w:rFonts w:ascii="Arial" w:hAnsi="Arial" w:cs="Arial"/>
          <w:sz w:val="20"/>
          <w:szCs w:val="20"/>
          <w:shd w:val="clear" w:color="auto" w:fill="FFFFFF"/>
        </w:rPr>
        <w:t>. Nordhagen EK, Flydal E. Self-referencing authorships behind the ICNIRP 2020 radiation protection guidelines. Rev Environ Health. 2022 Jun 27;38(3):531-546. doi: 10.1515/reveh-2022-0037. PMID: 35751553.</w:t>
      </w:r>
    </w:p>
    <w:p w:rsidR="008645DF" w:rsidRPr="00CA670D" w:rsidRDefault="008645DF" w:rsidP="009D4DEB">
      <w:pPr>
        <w:ind w:left="0" w:firstLine="0"/>
        <w:rPr>
          <w:rFonts w:ascii="Arial" w:hAnsi="Arial" w:cs="Arial"/>
          <w:sz w:val="20"/>
          <w:szCs w:val="20"/>
          <w:shd w:val="clear" w:color="auto" w:fill="FFFFFF"/>
        </w:rPr>
      </w:pPr>
    </w:p>
    <w:p w:rsidR="008645DF" w:rsidRPr="00CA670D" w:rsidRDefault="008645DF" w:rsidP="009D4DEB">
      <w:pPr>
        <w:ind w:left="0" w:firstLine="0"/>
        <w:rPr>
          <w:rFonts w:ascii="Arial" w:hAnsi="Arial" w:cs="Arial"/>
          <w:sz w:val="20"/>
          <w:szCs w:val="20"/>
          <w:shd w:val="clear" w:color="auto" w:fill="FFFFFF"/>
        </w:rPr>
      </w:pPr>
      <w:r w:rsidRPr="00CA670D">
        <w:rPr>
          <w:rFonts w:ascii="Arial" w:hAnsi="Arial" w:cs="Arial"/>
          <w:sz w:val="20"/>
          <w:szCs w:val="20"/>
          <w:shd w:val="clear" w:color="auto" w:fill="FFFFFF"/>
        </w:rPr>
        <w:t>. Panagopoulos DJ, Karabarbounis A, Yakymenko I, Chrousos GP. Human</w:t>
      </w:r>
      <w:r w:rsidRPr="00CA670D">
        <w:rPr>
          <w:rFonts w:ascii="Arial" w:hAnsi="Arial" w:cs="Arial"/>
          <w:sz w:val="20"/>
          <w:szCs w:val="20"/>
          <w:shd w:val="clear" w:color="auto" w:fill="FFFFFF"/>
        </w:rPr>
        <w:noBreakHyphen/>
        <w:t>made electromagnetic fields: Ion forced</w:t>
      </w:r>
      <w:r w:rsidRPr="00CA670D">
        <w:rPr>
          <w:rFonts w:ascii="Arial" w:hAnsi="Arial" w:cs="Arial"/>
          <w:sz w:val="20"/>
          <w:szCs w:val="20"/>
          <w:shd w:val="clear" w:color="auto" w:fill="FFFFFF"/>
        </w:rPr>
        <w:noBreakHyphen/>
        <w:t>oscillation and voltage</w:t>
      </w:r>
      <w:r w:rsidRPr="00CA670D">
        <w:rPr>
          <w:rFonts w:ascii="Arial" w:hAnsi="Arial" w:cs="Arial"/>
          <w:sz w:val="20"/>
          <w:szCs w:val="20"/>
          <w:shd w:val="clear" w:color="auto" w:fill="FFFFFF"/>
        </w:rPr>
        <w:noBreakHyphen/>
        <w:t>gated ion channel dysfunction, oxidative stress and DNA damage (Review). Int J Oncol. 2021 Nov;59(5):92. doi: 10.3892/ijo.2021.5272. Epub 2021 Oct 7. PMID: 34617575; PMCID: PMC8562392.</w:t>
      </w:r>
    </w:p>
    <w:p w:rsidR="008645DF" w:rsidRPr="00CA670D" w:rsidRDefault="008645DF" w:rsidP="009D4DEB">
      <w:pPr>
        <w:ind w:left="0" w:firstLine="0"/>
        <w:rPr>
          <w:rFonts w:ascii="Arial" w:hAnsi="Arial" w:cs="Arial"/>
          <w:sz w:val="20"/>
          <w:szCs w:val="20"/>
          <w:shd w:val="clear" w:color="auto" w:fill="FFFFFF"/>
        </w:rPr>
      </w:pPr>
    </w:p>
    <w:p w:rsidR="008645DF" w:rsidRPr="00CA670D" w:rsidRDefault="008645DF" w:rsidP="009D4DEB">
      <w:pPr>
        <w:ind w:left="0" w:firstLine="0"/>
        <w:rPr>
          <w:rFonts w:ascii="Arial" w:hAnsi="Arial" w:cs="Arial"/>
          <w:sz w:val="20"/>
          <w:szCs w:val="20"/>
          <w:shd w:val="clear" w:color="auto" w:fill="FFFFFF"/>
        </w:rPr>
      </w:pPr>
      <w:r w:rsidRPr="00CA670D">
        <w:rPr>
          <w:rFonts w:ascii="Arial" w:hAnsi="Arial" w:cs="Arial"/>
          <w:sz w:val="20"/>
          <w:szCs w:val="20"/>
          <w:shd w:val="clear" w:color="auto" w:fill="FFFFFF"/>
        </w:rPr>
        <w:t>. Pall ML. Low Intensity Electromagnetic Fields Act via Voltage-Gated Calcium Channel (VGCC) Activation to Cause Very Early Onset Alzheimer's Disease: 18 Distinct Types of Evidence. Curr Alzheimer Res. 2022;19(2):119-132. doi: 10.2174/1567205019666220202114510. PMID: 35114921; PMCID: PMC9189734</w:t>
      </w:r>
    </w:p>
    <w:p w:rsidR="008645DF" w:rsidRPr="00CA670D" w:rsidRDefault="008645DF" w:rsidP="009D4DEB">
      <w:pPr>
        <w:ind w:left="0" w:firstLine="0"/>
        <w:rPr>
          <w:rFonts w:ascii="Arial" w:hAnsi="Arial" w:cs="Arial"/>
          <w:sz w:val="20"/>
          <w:szCs w:val="20"/>
          <w:shd w:val="clear" w:color="auto" w:fill="FFFFFF"/>
        </w:rPr>
      </w:pPr>
    </w:p>
    <w:p w:rsidR="008645DF" w:rsidRPr="00CA670D" w:rsidRDefault="008645DF" w:rsidP="009D4DEB">
      <w:pPr>
        <w:ind w:left="0" w:firstLine="0"/>
        <w:rPr>
          <w:rFonts w:ascii="Arial" w:hAnsi="Arial" w:cs="Arial"/>
          <w:sz w:val="20"/>
          <w:szCs w:val="20"/>
          <w:shd w:val="clear" w:color="auto" w:fill="FFFFFF"/>
        </w:rPr>
      </w:pPr>
      <w:r w:rsidRPr="00CA670D">
        <w:rPr>
          <w:rFonts w:ascii="Arial" w:hAnsi="Arial" w:cs="Arial"/>
          <w:sz w:val="20"/>
          <w:szCs w:val="20"/>
          <w:shd w:val="clear" w:color="auto" w:fill="FFFFFF"/>
        </w:rPr>
        <w:t>. Pall ML. Central Causation of Autism/ASDs via Excessive [Ca</w:t>
      </w:r>
      <w:r w:rsidRPr="00CA670D">
        <w:rPr>
          <w:rFonts w:ascii="Arial" w:hAnsi="Arial" w:cs="Arial"/>
          <w:sz w:val="20"/>
          <w:szCs w:val="20"/>
          <w:shd w:val="clear" w:color="auto" w:fill="FFFFFF"/>
          <w:vertAlign w:val="superscript"/>
        </w:rPr>
        <w:t>2+</w:t>
      </w:r>
      <w:r w:rsidRPr="00CA670D">
        <w:rPr>
          <w:rFonts w:ascii="Arial" w:hAnsi="Arial" w:cs="Arial"/>
          <w:sz w:val="20"/>
          <w:szCs w:val="20"/>
          <w:shd w:val="clear" w:color="auto" w:fill="FFFFFF"/>
        </w:rPr>
        <w:t>]i Impacting Six Mechanisms Controlling Synaptogenesis during the Perinatal Period: The Role of Electromagnetic Fields and Chemicals and the NO/ONOO(-) Cycle, as Well as Specific Mutations. Brain Sci. 2024 Apr 30;14(5):454. doi: 10.3390/brainsci14050454. PMID: 38790433; PMCID: PMC11119459.</w:t>
      </w:r>
    </w:p>
    <w:p w:rsidR="008645DF" w:rsidRPr="00902DBD" w:rsidRDefault="008645DF" w:rsidP="009D4DEB">
      <w:pPr>
        <w:ind w:left="0" w:firstLine="0"/>
        <w:rPr>
          <w:rFonts w:ascii="Arial" w:hAnsi="Arial" w:cs="Arial"/>
          <w:color w:val="212121"/>
          <w:sz w:val="20"/>
          <w:szCs w:val="20"/>
          <w:shd w:val="clear" w:color="auto" w:fill="FFFFFF"/>
        </w:rPr>
      </w:pPr>
    </w:p>
    <w:p w:rsidR="008645DF" w:rsidRPr="00902DBD" w:rsidRDefault="008645DF" w:rsidP="009D4DEB">
      <w:pPr>
        <w:ind w:left="0" w:firstLine="0"/>
        <w:rPr>
          <w:rFonts w:ascii="Arial" w:hAnsi="Arial" w:cs="Arial"/>
          <w:sz w:val="20"/>
          <w:szCs w:val="20"/>
        </w:rPr>
      </w:pPr>
      <w:r w:rsidRPr="00902DBD">
        <w:rPr>
          <w:rFonts w:ascii="Arial" w:hAnsi="Arial" w:cs="Arial"/>
          <w:sz w:val="20"/>
          <w:szCs w:val="20"/>
        </w:rPr>
        <w:t xml:space="preserve">. </w:t>
      </w:r>
      <w:hyperlink r:id="rId112" w:history="1">
        <w:r w:rsidRPr="00902DBD">
          <w:rPr>
            <w:rStyle w:val="Lienhypertexte"/>
            <w:rFonts w:ascii="Arial" w:hAnsi="Arial" w:cs="Arial"/>
            <w:sz w:val="20"/>
            <w:szCs w:val="20"/>
          </w:rPr>
          <w:t>Parents, Enfants &amp; Numérique 2024 - Rapport de l'étude | OPEN Asso | Observatoire de la Parentalité et de l'Éducation Numérique</w:t>
        </w:r>
      </w:hyperlink>
    </w:p>
    <w:p w:rsidR="008645DF" w:rsidRPr="00902DBD"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sz w:val="20"/>
          <w:szCs w:val="20"/>
          <w:shd w:val="clear" w:color="auto" w:fill="FFFFFF"/>
        </w:rPr>
      </w:pPr>
      <w:r w:rsidRPr="00CA670D">
        <w:rPr>
          <w:rFonts w:ascii="Arial" w:hAnsi="Arial" w:cs="Arial"/>
          <w:sz w:val="20"/>
          <w:szCs w:val="20"/>
        </w:rPr>
        <w:t xml:space="preserve">. </w:t>
      </w:r>
      <w:r w:rsidRPr="00CA670D">
        <w:rPr>
          <w:rFonts w:ascii="Arial" w:hAnsi="Arial" w:cs="Arial"/>
          <w:sz w:val="20"/>
          <w:szCs w:val="20"/>
          <w:shd w:val="clear" w:color="auto" w:fill="FFFFFF"/>
        </w:rPr>
        <w:t>Rangesh NM, Malaisamy AK, Kumar N, Kumar S. Analysis of the metabolic profile of humans naturally exposed to RF-EM radiation. Metabolomics. 2024 May 18;20(3):55. doi: 10.1007/s11306-024-02121-2. PMID: 38762651.</w:t>
      </w:r>
    </w:p>
    <w:p w:rsidR="008645DF" w:rsidRPr="00CA670D" w:rsidRDefault="008645DF" w:rsidP="009D4DEB">
      <w:pPr>
        <w:ind w:left="0" w:firstLine="0"/>
        <w:rPr>
          <w:rFonts w:ascii="Arial" w:hAnsi="Arial" w:cs="Arial"/>
          <w:sz w:val="20"/>
          <w:szCs w:val="20"/>
          <w:shd w:val="clear" w:color="auto" w:fill="FFFFFF"/>
        </w:rPr>
      </w:pPr>
    </w:p>
    <w:p w:rsidR="008645DF" w:rsidRDefault="008645DF" w:rsidP="009D4DEB">
      <w:pPr>
        <w:ind w:left="0" w:firstLine="0"/>
        <w:rPr>
          <w:rFonts w:ascii="Arial" w:hAnsi="Arial" w:cs="Arial"/>
          <w:sz w:val="20"/>
          <w:szCs w:val="20"/>
          <w:shd w:val="clear" w:color="auto" w:fill="FFFFFF"/>
        </w:rPr>
      </w:pPr>
      <w:r w:rsidRPr="00CA670D">
        <w:rPr>
          <w:rFonts w:ascii="Arial" w:hAnsi="Arial" w:cs="Arial"/>
          <w:sz w:val="20"/>
          <w:szCs w:val="20"/>
          <w:shd w:val="clear" w:color="auto" w:fill="FFFFFF"/>
        </w:rPr>
        <w:t>. Salford LG, Brun AE, Eberhardt JL, Malmgren L, Persson BR. Nerve cell damage in mammalian brain after exposure to microwaves from GSM mobile phones. Environ Health Perspect. 2003 Jun;111(7):881-3; discussion A408. doi: 10.1289/ehp.6039. PMID: 12782486; PMCID: PMC1241519.</w:t>
      </w:r>
    </w:p>
    <w:p w:rsidR="008645DF" w:rsidRPr="00CA670D" w:rsidRDefault="008645DF" w:rsidP="009D4DEB">
      <w:pPr>
        <w:ind w:left="0" w:firstLine="0"/>
        <w:rPr>
          <w:rFonts w:ascii="Arial" w:hAnsi="Arial" w:cs="Arial"/>
          <w:sz w:val="20"/>
          <w:szCs w:val="20"/>
          <w:shd w:val="clear" w:color="auto" w:fill="FFFFFF"/>
        </w:rPr>
      </w:pPr>
    </w:p>
    <w:p w:rsidR="008645DF" w:rsidRDefault="008645DF" w:rsidP="009D4DEB">
      <w:pPr>
        <w:ind w:left="0" w:firstLine="0"/>
        <w:rPr>
          <w:rFonts w:ascii="Arial" w:hAnsi="Arial" w:cs="Arial"/>
          <w:sz w:val="20"/>
          <w:szCs w:val="20"/>
          <w:shd w:val="clear" w:color="auto" w:fill="FFFFFF"/>
        </w:rPr>
      </w:pPr>
      <w:r w:rsidRPr="00CA670D">
        <w:rPr>
          <w:rFonts w:ascii="Arial" w:hAnsi="Arial" w:cs="Arial"/>
          <w:sz w:val="20"/>
          <w:szCs w:val="20"/>
          <w:shd w:val="clear" w:color="auto" w:fill="FFFFFF"/>
        </w:rPr>
        <w:t>. Salford LG, Brun AE, Eberhardt JL, Malmgren L, Persson BR. Nerve cell damage in mammalian brain after exposure to microwaves from GSM mobile phones. Environ Health Perspect. 2003 Jun;111(7):881-3; discussion A408. doi: 10.1289/ehp.6039. PMID: 12782486; PMCID: PMC1241519.</w:t>
      </w:r>
    </w:p>
    <w:p w:rsidR="008645DF" w:rsidRPr="00CA670D" w:rsidRDefault="008645DF" w:rsidP="009D4DEB">
      <w:pPr>
        <w:ind w:left="0" w:firstLine="0"/>
        <w:rPr>
          <w:rFonts w:ascii="Arial" w:hAnsi="Arial" w:cs="Arial"/>
          <w:sz w:val="20"/>
          <w:szCs w:val="20"/>
          <w:shd w:val="clear" w:color="auto" w:fill="FFFFFF"/>
        </w:rPr>
      </w:pPr>
    </w:p>
    <w:p w:rsidR="008645DF" w:rsidRPr="00902DBD" w:rsidRDefault="008645DF" w:rsidP="009D4DEB">
      <w:pPr>
        <w:ind w:left="0" w:firstLine="0"/>
        <w:rPr>
          <w:rFonts w:ascii="Arial" w:hAnsi="Arial" w:cs="Arial"/>
          <w:sz w:val="20"/>
          <w:szCs w:val="20"/>
        </w:rPr>
      </w:pPr>
      <w:r w:rsidRPr="00CA670D">
        <w:rPr>
          <w:rFonts w:ascii="Arial" w:hAnsi="Arial" w:cs="Arial"/>
          <w:sz w:val="20"/>
          <w:szCs w:val="20"/>
        </w:rPr>
        <w:t xml:space="preserve">. Santini, R., Santini, P., Le Ruz, P., Danze, J.-M., &amp; Seigne, M. (2002). Étude des effets de stations de base de téléphonie mobile sur la santé des personnes vivant à proximité. </w:t>
      </w:r>
      <w:r w:rsidRPr="00CA670D">
        <w:rPr>
          <w:rStyle w:val="Accentuation"/>
          <w:rFonts w:ascii="Arial" w:hAnsi="Arial" w:cs="Arial"/>
          <w:sz w:val="20"/>
          <w:szCs w:val="20"/>
        </w:rPr>
        <w:t>Pathologie Biologie</w:t>
      </w:r>
      <w:r w:rsidRPr="00CA670D">
        <w:rPr>
          <w:rFonts w:ascii="Arial" w:hAnsi="Arial" w:cs="Arial"/>
          <w:sz w:val="20"/>
          <w:szCs w:val="20"/>
        </w:rPr>
        <w:t>,</w:t>
      </w:r>
      <w:r w:rsidRPr="00902DBD">
        <w:rPr>
          <w:rFonts w:ascii="Arial" w:hAnsi="Arial" w:cs="Arial"/>
          <w:sz w:val="20"/>
          <w:szCs w:val="20"/>
        </w:rPr>
        <w:t xml:space="preserve"> 50(6), 369–373. </w:t>
      </w:r>
      <w:hyperlink r:id="rId113" w:history="1">
        <w:r w:rsidRPr="00902DBD">
          <w:rPr>
            <w:rStyle w:val="Lienhypertexte"/>
            <w:rFonts w:ascii="Arial" w:hAnsi="Arial" w:cs="Arial"/>
            <w:sz w:val="20"/>
            <w:szCs w:val="20"/>
          </w:rPr>
          <w:t>https://doi.org/10.1016/S0369-8114(02)00311-5</w:t>
        </w:r>
      </w:hyperlink>
    </w:p>
    <w:p w:rsidR="008645DF" w:rsidRDefault="008645DF" w:rsidP="009D4DEB">
      <w:pPr>
        <w:ind w:left="0" w:firstLine="0"/>
        <w:rPr>
          <w:rFonts w:ascii="Arial" w:hAnsi="Arial" w:cs="Arial"/>
          <w:sz w:val="20"/>
          <w:szCs w:val="20"/>
        </w:rPr>
      </w:pPr>
      <w:r w:rsidRPr="00902DBD">
        <w:rPr>
          <w:rFonts w:ascii="Arial" w:hAnsi="Arial" w:cs="Arial"/>
          <w:sz w:val="20"/>
          <w:szCs w:val="20"/>
        </w:rPr>
        <w:t xml:space="preserve">. </w:t>
      </w:r>
      <w:r w:rsidRPr="00902DBD">
        <w:rPr>
          <w:rFonts w:ascii="Arial" w:eastAsia="Times New Roman" w:hAnsi="Arial" w:cs="Arial"/>
          <w:sz w:val="20"/>
          <w:szCs w:val="20"/>
          <w:lang w:eastAsia="fr-FR"/>
        </w:rPr>
        <w:t xml:space="preserve">Santini, R., Santini, P., Le Ruz, P., Danze, J.-M., &amp; Seigne, M. (2003). Symptômes expérimentés par des personnes vivant près d’antennes de stations relais de téléphonie mobile : II. En fonction de leur position par rapport à l’antenne. </w:t>
      </w:r>
      <w:r w:rsidRPr="00902DBD">
        <w:rPr>
          <w:rFonts w:ascii="Arial" w:eastAsia="Times New Roman" w:hAnsi="Arial" w:cs="Arial"/>
          <w:i/>
          <w:iCs/>
          <w:sz w:val="20"/>
          <w:szCs w:val="20"/>
          <w:lang w:eastAsia="fr-FR"/>
        </w:rPr>
        <w:t>Pathologie Biologie</w:t>
      </w:r>
      <w:r w:rsidRPr="00902DBD">
        <w:rPr>
          <w:rFonts w:ascii="Arial" w:eastAsia="Times New Roman" w:hAnsi="Arial" w:cs="Arial"/>
          <w:sz w:val="20"/>
          <w:szCs w:val="20"/>
          <w:lang w:eastAsia="fr-FR"/>
        </w:rPr>
        <w:t xml:space="preserve">, 51(7), 412–415. </w:t>
      </w:r>
      <w:hyperlink r:id="rId114" w:history="1">
        <w:r w:rsidRPr="00902DBD">
          <w:rPr>
            <w:rStyle w:val="Lienhypertexte"/>
            <w:rFonts w:ascii="Arial" w:eastAsia="Times New Roman" w:hAnsi="Arial" w:cs="Arial"/>
            <w:sz w:val="20"/>
            <w:szCs w:val="20"/>
            <w:lang w:eastAsia="fr-FR"/>
          </w:rPr>
          <w:t>https://doi.org/10.1016/S0369-8114(03)00178-2</w:t>
        </w:r>
      </w:hyperlink>
    </w:p>
    <w:p w:rsidR="008645DF" w:rsidRDefault="008645DF" w:rsidP="009D4DEB">
      <w:pPr>
        <w:ind w:left="0" w:firstLine="0"/>
        <w:rPr>
          <w:rFonts w:ascii="Arial" w:hAnsi="Arial" w:cs="Arial"/>
          <w:sz w:val="20"/>
          <w:szCs w:val="20"/>
        </w:rPr>
      </w:pPr>
    </w:p>
    <w:p w:rsidR="008645DF" w:rsidRDefault="008645DF" w:rsidP="009D4DEB">
      <w:pPr>
        <w:ind w:left="0" w:firstLine="0"/>
        <w:rPr>
          <w:rFonts w:ascii="Arial" w:hAnsi="Arial" w:cs="Arial"/>
          <w:color w:val="222222"/>
          <w:sz w:val="20"/>
          <w:szCs w:val="20"/>
          <w:shd w:val="clear" w:color="auto" w:fill="FFFFFF"/>
        </w:rPr>
      </w:pPr>
      <w:r w:rsidRPr="00CA670D">
        <w:rPr>
          <w:rFonts w:ascii="Arial" w:hAnsi="Arial" w:cs="Arial"/>
          <w:sz w:val="20"/>
          <w:szCs w:val="20"/>
        </w:rPr>
        <w:t xml:space="preserve">. </w:t>
      </w:r>
      <w:r w:rsidRPr="00CA670D">
        <w:rPr>
          <w:rFonts w:ascii="Arial" w:hAnsi="Arial" w:cs="Arial"/>
          <w:sz w:val="20"/>
          <w:szCs w:val="20"/>
          <w:shd w:val="clear" w:color="auto" w:fill="FFFFFF"/>
        </w:rPr>
        <w:t>Schuermann D, Mevissen M. Manmade Electromagnetic Fields and Oxidative Stress—Biological Effects and Consequences for Health. </w:t>
      </w:r>
      <w:r w:rsidRPr="00CA670D">
        <w:rPr>
          <w:rStyle w:val="Accentuation"/>
          <w:rFonts w:ascii="Arial" w:hAnsi="Arial" w:cs="Arial"/>
          <w:sz w:val="20"/>
          <w:szCs w:val="20"/>
          <w:shd w:val="clear" w:color="auto" w:fill="FFFFFF"/>
        </w:rPr>
        <w:t>International Journal of Molecular Sciences</w:t>
      </w:r>
      <w:r w:rsidRPr="00CA670D">
        <w:rPr>
          <w:rFonts w:ascii="Arial" w:hAnsi="Arial" w:cs="Arial"/>
          <w:sz w:val="20"/>
          <w:szCs w:val="20"/>
          <w:shd w:val="clear" w:color="auto" w:fill="FFFFFF"/>
        </w:rPr>
        <w:t>. 2021; 22(7):3772.</w:t>
      </w:r>
      <w:r w:rsidRPr="00902DBD">
        <w:rPr>
          <w:rFonts w:ascii="Arial" w:hAnsi="Arial" w:cs="Arial"/>
          <w:color w:val="222222"/>
          <w:sz w:val="20"/>
          <w:szCs w:val="20"/>
          <w:shd w:val="clear" w:color="auto" w:fill="FFFFFF"/>
        </w:rPr>
        <w:t xml:space="preserve"> </w:t>
      </w:r>
      <w:hyperlink r:id="rId115" w:history="1">
        <w:r w:rsidRPr="00902DBD">
          <w:rPr>
            <w:rStyle w:val="Lienhypertexte"/>
            <w:rFonts w:ascii="Arial" w:hAnsi="Arial" w:cs="Arial"/>
            <w:sz w:val="20"/>
            <w:szCs w:val="20"/>
            <w:shd w:val="clear" w:color="auto" w:fill="FFFFFF"/>
          </w:rPr>
          <w:t>https://doi.org/10.3390/ijms22073772</w:t>
        </w:r>
      </w:hyperlink>
      <w:r w:rsidRPr="00902DBD">
        <w:rPr>
          <w:rFonts w:ascii="Arial" w:hAnsi="Arial" w:cs="Arial"/>
          <w:color w:val="222222"/>
          <w:sz w:val="20"/>
          <w:szCs w:val="20"/>
          <w:shd w:val="clear" w:color="auto" w:fill="FFFFFF"/>
        </w:rPr>
        <w:t xml:space="preserve">         </w:t>
      </w:r>
    </w:p>
    <w:p w:rsidR="008645DF" w:rsidRPr="00902DBD" w:rsidRDefault="008645DF" w:rsidP="009D4DEB">
      <w:pPr>
        <w:ind w:left="0" w:firstLine="0"/>
        <w:rPr>
          <w:rFonts w:ascii="Arial" w:hAnsi="Arial" w:cs="Arial"/>
          <w:color w:val="222222"/>
          <w:sz w:val="20"/>
          <w:szCs w:val="20"/>
          <w:shd w:val="clear" w:color="auto" w:fill="FFFFFF"/>
        </w:rPr>
      </w:pPr>
      <w:r w:rsidRPr="00902DBD">
        <w:rPr>
          <w:rFonts w:ascii="Arial" w:hAnsi="Arial" w:cs="Arial"/>
          <w:color w:val="222222"/>
          <w:sz w:val="20"/>
          <w:szCs w:val="20"/>
          <w:shd w:val="clear" w:color="auto" w:fill="FFFFFF"/>
        </w:rPr>
        <w:t xml:space="preserve">  </w:t>
      </w:r>
    </w:p>
    <w:p w:rsidR="008645DF" w:rsidRDefault="008645DF" w:rsidP="009D4DEB">
      <w:pPr>
        <w:ind w:left="0" w:firstLine="0"/>
        <w:rPr>
          <w:rFonts w:ascii="Arial" w:hAnsi="Arial" w:cs="Arial"/>
          <w:sz w:val="20"/>
          <w:szCs w:val="20"/>
        </w:rPr>
      </w:pPr>
      <w:r w:rsidRPr="00902DBD">
        <w:rPr>
          <w:rFonts w:ascii="Arial" w:eastAsia="Times New Roman" w:hAnsi="Arial" w:cs="Arial"/>
          <w:sz w:val="20"/>
          <w:szCs w:val="20"/>
          <w:lang w:eastAsia="fr-FR"/>
        </w:rPr>
        <w:t xml:space="preserve">. </w:t>
      </w:r>
      <w:r w:rsidRPr="00902DBD">
        <w:rPr>
          <w:rFonts w:ascii="Arial" w:hAnsi="Arial" w:cs="Arial"/>
          <w:sz w:val="20"/>
          <w:szCs w:val="20"/>
        </w:rPr>
        <w:t xml:space="preserve">Vian, A., Roux, D., Girard, S., Bonnet, P., Paladian, F., Davies, E., &amp; Ledoigt, G. (2016). </w:t>
      </w:r>
      <w:r w:rsidRPr="00902DBD">
        <w:rPr>
          <w:rStyle w:val="Accentuation"/>
          <w:rFonts w:ascii="Arial" w:hAnsi="Arial" w:cs="Arial"/>
          <w:sz w:val="20"/>
          <w:szCs w:val="20"/>
        </w:rPr>
        <w:t>Plant responses to high frequency electromagnetic fields</w:t>
      </w:r>
      <w:r w:rsidRPr="00902DBD">
        <w:rPr>
          <w:rFonts w:ascii="Arial" w:hAnsi="Arial" w:cs="Arial"/>
          <w:sz w:val="20"/>
          <w:szCs w:val="20"/>
        </w:rPr>
        <w:t xml:space="preserve">. </w:t>
      </w:r>
      <w:r w:rsidRPr="00902DBD">
        <w:rPr>
          <w:rStyle w:val="lev"/>
          <w:rFonts w:ascii="Arial" w:hAnsi="Arial" w:cs="Arial"/>
          <w:sz w:val="20"/>
          <w:szCs w:val="20"/>
        </w:rPr>
        <w:t>BioMed Research International</w:t>
      </w:r>
      <w:r w:rsidRPr="00902DBD">
        <w:rPr>
          <w:rFonts w:ascii="Arial" w:hAnsi="Arial" w:cs="Arial"/>
          <w:sz w:val="20"/>
          <w:szCs w:val="20"/>
        </w:rPr>
        <w:t xml:space="preserve">, </w:t>
      </w:r>
      <w:r w:rsidRPr="00902DBD">
        <w:rPr>
          <w:rStyle w:val="Accentuation"/>
          <w:rFonts w:ascii="Arial" w:hAnsi="Arial" w:cs="Arial"/>
          <w:sz w:val="20"/>
          <w:szCs w:val="20"/>
        </w:rPr>
        <w:t>2016</w:t>
      </w:r>
      <w:r w:rsidRPr="00902DBD">
        <w:rPr>
          <w:rFonts w:ascii="Arial" w:hAnsi="Arial" w:cs="Arial"/>
          <w:sz w:val="20"/>
          <w:szCs w:val="20"/>
        </w:rPr>
        <w:t xml:space="preserve">, Article 1830262. </w:t>
      </w:r>
      <w:hyperlink r:id="rId116" w:history="1">
        <w:r w:rsidRPr="00EE39E6">
          <w:rPr>
            <w:rStyle w:val="Lienhypertexte"/>
            <w:rFonts w:ascii="Arial" w:hAnsi="Arial" w:cs="Arial"/>
            <w:sz w:val="20"/>
            <w:szCs w:val="20"/>
          </w:rPr>
          <w:t>https://doi.org/10.1155/2016/1830262</w:t>
        </w:r>
      </w:hyperlink>
    </w:p>
    <w:p w:rsidR="008645DF" w:rsidRDefault="008645DF" w:rsidP="009D4DEB">
      <w:pPr>
        <w:ind w:left="0" w:firstLine="0"/>
        <w:rPr>
          <w:rFonts w:ascii="Arial" w:hAnsi="Arial" w:cs="Arial"/>
          <w:sz w:val="20"/>
          <w:szCs w:val="20"/>
        </w:rPr>
      </w:pPr>
    </w:p>
    <w:p w:rsidR="008645DF" w:rsidRPr="00902DBD" w:rsidRDefault="008645DF" w:rsidP="009D4DEB">
      <w:pPr>
        <w:ind w:left="0" w:firstLine="0"/>
        <w:rPr>
          <w:rFonts w:ascii="Arial" w:hAnsi="Arial" w:cs="Arial"/>
          <w:sz w:val="20"/>
          <w:szCs w:val="20"/>
        </w:rPr>
      </w:pPr>
      <w:r w:rsidRPr="00902DBD">
        <w:rPr>
          <w:rFonts w:ascii="Arial" w:hAnsi="Arial" w:cs="Arial"/>
          <w:sz w:val="20"/>
          <w:szCs w:val="20"/>
        </w:rPr>
        <w:t>. Wang LF, Tian DW Li HJ, Gao YB, Wang CZ, Zhao L, Zuo HY, et al. Identification of a novel rat NR2B subunit gene promoter region variant and its association with microwave-induced neuron impairment. Mol Neurobiol. (2016) 53:2100–11. doi: 10.1007/s12035-015-9169-3</w:t>
      </w:r>
    </w:p>
    <w:p w:rsidR="008645DF" w:rsidRPr="00902DBD" w:rsidRDefault="008645DF" w:rsidP="009D4DEB">
      <w:pPr>
        <w:ind w:left="0" w:firstLine="0"/>
        <w:rPr>
          <w:rFonts w:ascii="Arial" w:hAnsi="Arial" w:cs="Arial"/>
          <w:sz w:val="20"/>
          <w:szCs w:val="20"/>
        </w:rPr>
      </w:pPr>
    </w:p>
    <w:p w:rsidR="008645DF" w:rsidRDefault="008645DF" w:rsidP="008645DF">
      <w:pPr>
        <w:rPr>
          <w:rFonts w:ascii="Arial" w:hAnsi="Arial" w:cs="Arial"/>
          <w:sz w:val="20"/>
          <w:szCs w:val="20"/>
        </w:rPr>
      </w:pPr>
      <w:r>
        <w:rPr>
          <w:rFonts w:ascii="Arial" w:hAnsi="Arial" w:cs="Arial"/>
          <w:sz w:val="20"/>
          <w:szCs w:val="20"/>
        </w:rPr>
        <w:br w:type="page"/>
      </w:r>
    </w:p>
    <w:p w:rsidR="008645DF" w:rsidRDefault="008645DF" w:rsidP="008645DF">
      <w:pPr>
        <w:jc w:val="center"/>
        <w:rPr>
          <w:rFonts w:ascii="Arial" w:hAnsi="Arial" w:cs="Arial"/>
          <w:b/>
          <w:sz w:val="24"/>
          <w:szCs w:val="24"/>
          <w:u w:val="single"/>
        </w:rPr>
      </w:pPr>
      <w:r>
        <w:rPr>
          <w:rFonts w:ascii="Arial" w:hAnsi="Arial" w:cs="Arial"/>
          <w:b/>
          <w:sz w:val="24"/>
          <w:szCs w:val="24"/>
          <w:u w:val="single"/>
        </w:rPr>
        <w:lastRenderedPageBreak/>
        <w:t>Abréviations</w:t>
      </w:r>
    </w:p>
    <w:p w:rsidR="008645DF" w:rsidRDefault="008645DF" w:rsidP="008645DF">
      <w:pPr>
        <w:jc w:val="center"/>
        <w:rPr>
          <w:rFonts w:ascii="Arial" w:hAnsi="Arial" w:cs="Arial"/>
          <w:b/>
          <w:sz w:val="24"/>
          <w:szCs w:val="24"/>
          <w:u w:val="single"/>
        </w:rPr>
      </w:pPr>
    </w:p>
    <w:p w:rsidR="008645DF" w:rsidRPr="00CA670D" w:rsidRDefault="008645DF" w:rsidP="008645DF">
      <w:pPr>
        <w:jc w:val="center"/>
        <w:rPr>
          <w:rFonts w:ascii="Arial" w:hAnsi="Arial" w:cs="Arial"/>
          <w:b/>
          <w:sz w:val="24"/>
          <w:szCs w:val="24"/>
          <w:u w:val="single"/>
        </w:rPr>
      </w:pPr>
    </w:p>
    <w:p w:rsidR="008645DF" w:rsidRPr="00CA670D" w:rsidRDefault="008645DF" w:rsidP="008645DF">
      <w:pPr>
        <w:rPr>
          <w:rFonts w:ascii="Arial" w:hAnsi="Arial" w:cs="Arial"/>
          <w:sz w:val="20"/>
          <w:szCs w:val="20"/>
          <w:shd w:val="clear" w:color="auto" w:fill="FFFFFF"/>
        </w:rPr>
      </w:pPr>
      <w:r>
        <w:rPr>
          <w:rFonts w:ascii="Arial" w:hAnsi="Arial" w:cs="Arial"/>
          <w:sz w:val="20"/>
          <w:szCs w:val="20"/>
          <w:shd w:val="clear" w:color="auto" w:fill="FFFFFF"/>
        </w:rPr>
        <w:t>AM : A</w:t>
      </w:r>
      <w:r w:rsidRPr="00CA670D">
        <w:rPr>
          <w:rFonts w:ascii="Arial" w:hAnsi="Arial" w:cs="Arial"/>
          <w:sz w:val="20"/>
          <w:szCs w:val="20"/>
          <w:shd w:val="clear" w:color="auto" w:fill="FFFFFF"/>
        </w:rPr>
        <w:t>mplitude-modulated ou modulation d’amplitude</w:t>
      </w:r>
    </w:p>
    <w:p w:rsidR="008645DF" w:rsidRPr="00CA670D" w:rsidRDefault="008645DF" w:rsidP="008645DF">
      <w:pPr>
        <w:rPr>
          <w:rFonts w:ascii="Arial" w:hAnsi="Arial" w:cs="Arial"/>
          <w:sz w:val="20"/>
          <w:szCs w:val="20"/>
        </w:rPr>
      </w:pPr>
      <w:r w:rsidRPr="00CA670D">
        <w:rPr>
          <w:rFonts w:ascii="Arial" w:hAnsi="Arial" w:cs="Arial"/>
          <w:sz w:val="20"/>
          <w:szCs w:val="20"/>
        </w:rPr>
        <w:t>ANAST : Association nationale animaux sous-tension</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ANFR : Agence nationale des fréquences</w:t>
      </w:r>
    </w:p>
    <w:p w:rsidR="008645DF" w:rsidRPr="00CA670D" w:rsidRDefault="008645DF" w:rsidP="008645DF">
      <w:pPr>
        <w:rPr>
          <w:rFonts w:ascii="Arial" w:hAnsi="Arial" w:cs="Arial"/>
          <w:sz w:val="20"/>
          <w:szCs w:val="20"/>
        </w:rPr>
      </w:pPr>
      <w:r w:rsidRPr="00CA670D">
        <w:rPr>
          <w:rFonts w:ascii="Arial" w:hAnsi="Arial" w:cs="Arial"/>
          <w:sz w:val="20"/>
          <w:szCs w:val="20"/>
          <w:shd w:val="clear" w:color="auto" w:fill="FFFFFF"/>
        </w:rPr>
        <w:t xml:space="preserve">ANSES : </w:t>
      </w:r>
      <w:r w:rsidRPr="00CA670D">
        <w:rPr>
          <w:rFonts w:ascii="Arial" w:hAnsi="Arial" w:cs="Arial"/>
          <w:sz w:val="20"/>
          <w:szCs w:val="20"/>
        </w:rPr>
        <w:t>Agence nationale de sécurité sanitaire de l’alimentation, de l’environnement et du travail</w:t>
      </w:r>
    </w:p>
    <w:p w:rsidR="008645DF" w:rsidRPr="00CA670D" w:rsidRDefault="008645DF" w:rsidP="008645DF">
      <w:pPr>
        <w:rPr>
          <w:rFonts w:ascii="Arial" w:hAnsi="Arial" w:cs="Arial"/>
          <w:sz w:val="20"/>
          <w:szCs w:val="20"/>
        </w:rPr>
      </w:pPr>
      <w:r w:rsidRPr="00CA670D">
        <w:rPr>
          <w:rFonts w:ascii="Arial" w:hAnsi="Arial" w:cs="Arial"/>
          <w:sz w:val="20"/>
          <w:szCs w:val="20"/>
        </w:rPr>
        <w:t>AOP : Adverse Outcome Pathway</w:t>
      </w:r>
    </w:p>
    <w:p w:rsidR="008645DF" w:rsidRPr="00CA670D" w:rsidRDefault="008645DF" w:rsidP="008645DF">
      <w:pPr>
        <w:rPr>
          <w:rFonts w:ascii="Arial" w:hAnsi="Arial" w:cs="Arial"/>
          <w:sz w:val="20"/>
          <w:szCs w:val="20"/>
        </w:rPr>
      </w:pPr>
      <w:r w:rsidRPr="00CA670D">
        <w:rPr>
          <w:rFonts w:ascii="Arial" w:hAnsi="Arial" w:cs="Arial"/>
          <w:sz w:val="20"/>
          <w:szCs w:val="20"/>
        </w:rPr>
        <w:t>ARCEP : Autorité de régulation des communications électroniques, des postes et de la distribution de la presse</w:t>
      </w:r>
    </w:p>
    <w:p w:rsidR="008645DF" w:rsidRPr="00CA670D" w:rsidRDefault="008645DF" w:rsidP="008645DF">
      <w:pPr>
        <w:rPr>
          <w:rFonts w:ascii="Arial" w:hAnsi="Arial" w:cs="Arial"/>
          <w:sz w:val="20"/>
          <w:szCs w:val="20"/>
        </w:rPr>
      </w:pPr>
      <w:r w:rsidRPr="00CA670D">
        <w:rPr>
          <w:rFonts w:ascii="Arial" w:hAnsi="Arial" w:cs="Arial"/>
          <w:sz w:val="20"/>
          <w:szCs w:val="20"/>
        </w:rPr>
        <w:t>BHE : Barrière hémato-encéphalique</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CDMA : Code Division Multiple Access</w:t>
      </w:r>
    </w:p>
    <w:p w:rsidR="008645DF" w:rsidRPr="00CA670D" w:rsidRDefault="008645DF" w:rsidP="008645DF">
      <w:pPr>
        <w:rPr>
          <w:rFonts w:ascii="Arial" w:hAnsi="Arial" w:cs="Arial"/>
          <w:sz w:val="20"/>
          <w:szCs w:val="20"/>
        </w:rPr>
      </w:pPr>
      <w:r w:rsidRPr="00CA670D">
        <w:rPr>
          <w:rFonts w:ascii="Arial" w:hAnsi="Arial" w:cs="Arial"/>
          <w:sz w:val="20"/>
          <w:szCs w:val="20"/>
        </w:rPr>
        <w:t>CIRC : Centre International de Recherche sur le Cancer (en anglais, IARC)</w:t>
      </w:r>
    </w:p>
    <w:p w:rsidR="008645DF" w:rsidRPr="00CA670D" w:rsidRDefault="008645DF" w:rsidP="008645DF">
      <w:pPr>
        <w:rPr>
          <w:rFonts w:ascii="Arial" w:hAnsi="Arial" w:cs="Arial"/>
          <w:sz w:val="20"/>
          <w:szCs w:val="20"/>
        </w:rPr>
      </w:pPr>
      <w:r w:rsidRPr="00CA670D">
        <w:rPr>
          <w:rFonts w:ascii="Arial" w:hAnsi="Arial" w:cs="Arial"/>
          <w:sz w:val="20"/>
          <w:szCs w:val="20"/>
        </w:rPr>
        <w:t>Criirem : Centre de recherche et d’information indépendant sur les risques électromagnétiques</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CW : Continuous Wave</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EHS : Electrohypersensibilité (appelée également SICEM : syndrome d’intolérance aux ondes électromagnétiques)</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ELF : extremely low frequency (extrêmement basse fréquence)</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 xml:space="preserve">EMF : Electromagnetic field (en Français, CEM : champs électromagnétique) </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EMF (variante) : Electromagnetic frequencies</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ETM</w:t>
      </w:r>
      <w:r>
        <w:rPr>
          <w:rFonts w:ascii="Arial" w:hAnsi="Arial" w:cs="Arial"/>
          <w:sz w:val="20"/>
          <w:szCs w:val="20"/>
          <w:shd w:val="clear" w:color="auto" w:fill="FFFFFF"/>
        </w:rPr>
        <w:t xml:space="preserve"> : </w:t>
      </w:r>
      <w:r w:rsidRPr="00CA670D">
        <w:rPr>
          <w:rFonts w:ascii="Arial" w:hAnsi="Arial" w:cs="Arial"/>
          <w:sz w:val="20"/>
          <w:szCs w:val="20"/>
          <w:shd w:val="clear" w:color="auto" w:fill="FFFFFF"/>
        </w:rPr>
        <w:t>élément trace métallique</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 xml:space="preserve">EUROPAEM : </w:t>
      </w:r>
      <w:r w:rsidRPr="00CA670D">
        <w:rPr>
          <w:rFonts w:ascii="Arial" w:hAnsi="Arial" w:cs="Arial"/>
          <w:sz w:val="20"/>
          <w:szCs w:val="20"/>
        </w:rPr>
        <w:t>European Academy for Environmental Medicine</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FM : modulation de fréquence</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GHz : Gigahertz</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GSM : Global System for Mobile Communications</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IARC : International Agency of Research on Cancer</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ICBE-EMF : International Commission on Biological Effects of the Electromagnetic fields (</w:t>
      </w:r>
      <w:r w:rsidRPr="00CA670D">
        <w:rPr>
          <w:rFonts w:ascii="Arial" w:hAnsi="Arial" w:cs="Arial"/>
          <w:sz w:val="20"/>
          <w:szCs w:val="20"/>
        </w:rPr>
        <w:t>Commission internationale sur les effets biologiques des champs électromagnétiques)</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ICNIRP : international commission on non-ionizing radiation protection</w:t>
      </w:r>
    </w:p>
    <w:p w:rsidR="008645DF" w:rsidRPr="006A0DCB" w:rsidRDefault="008645DF" w:rsidP="008645DF">
      <w:pPr>
        <w:rPr>
          <w:rFonts w:ascii="Arial" w:hAnsi="Arial" w:cs="Arial"/>
          <w:sz w:val="20"/>
          <w:szCs w:val="20"/>
          <w:shd w:val="clear" w:color="auto" w:fill="FFFFFF"/>
        </w:rPr>
      </w:pPr>
      <w:r>
        <w:rPr>
          <w:rFonts w:ascii="Arial" w:hAnsi="Arial" w:cs="Arial"/>
          <w:sz w:val="20"/>
          <w:szCs w:val="20"/>
          <w:shd w:val="clear" w:color="auto" w:fill="FFFFFF"/>
        </w:rPr>
        <w:t>LTE : L</w:t>
      </w:r>
      <w:r w:rsidRPr="006A0DCB">
        <w:rPr>
          <w:rFonts w:ascii="Arial" w:hAnsi="Arial" w:cs="Arial"/>
          <w:sz w:val="20"/>
          <w:szCs w:val="20"/>
          <w:shd w:val="clear" w:color="auto" w:fill="FFFFFF"/>
        </w:rPr>
        <w:t>ong-term evolution</w:t>
      </w:r>
    </w:p>
    <w:p w:rsidR="008645DF" w:rsidRPr="00CE1A0D" w:rsidRDefault="008645DF" w:rsidP="008645DF">
      <w:pPr>
        <w:rPr>
          <w:rFonts w:ascii="Arial" w:hAnsi="Arial" w:cs="Arial"/>
          <w:b/>
          <w:sz w:val="20"/>
          <w:szCs w:val="20"/>
        </w:rPr>
      </w:pPr>
      <w:r w:rsidRPr="00CE1A0D">
        <w:rPr>
          <w:rStyle w:val="lev"/>
          <w:rFonts w:ascii="Arial" w:hAnsi="Arial" w:cs="Arial"/>
          <w:b w:val="0"/>
          <w:sz w:val="20"/>
          <w:szCs w:val="20"/>
        </w:rPr>
        <w:t>OFDM : Orthogonal Frequency Division Multiplexing)</w:t>
      </w:r>
    </w:p>
    <w:p w:rsidR="008645DF" w:rsidRPr="00CE1A0D" w:rsidRDefault="008645DF" w:rsidP="008645DF">
      <w:pPr>
        <w:rPr>
          <w:rStyle w:val="lev"/>
          <w:rFonts w:ascii="Arial" w:hAnsi="Arial" w:cs="Arial"/>
          <w:b w:val="0"/>
          <w:sz w:val="20"/>
          <w:szCs w:val="20"/>
        </w:rPr>
      </w:pPr>
      <w:r w:rsidRPr="00CE1A0D">
        <w:rPr>
          <w:rStyle w:val="lev"/>
          <w:rFonts w:ascii="Arial" w:hAnsi="Arial" w:cs="Arial"/>
          <w:b w:val="0"/>
          <w:sz w:val="20"/>
          <w:szCs w:val="20"/>
        </w:rPr>
        <w:t>OFDMA (Orthogonal Frequency Division Multiple Access)</w:t>
      </w:r>
    </w:p>
    <w:p w:rsidR="008645DF" w:rsidRPr="00CE1A0D" w:rsidRDefault="008645DF" w:rsidP="008645DF">
      <w:pPr>
        <w:rPr>
          <w:rStyle w:val="lev"/>
          <w:rFonts w:ascii="Arial" w:hAnsi="Arial" w:cs="Arial"/>
          <w:b w:val="0"/>
          <w:sz w:val="20"/>
          <w:szCs w:val="20"/>
        </w:rPr>
      </w:pPr>
      <w:r w:rsidRPr="00CE1A0D">
        <w:rPr>
          <w:rStyle w:val="lev"/>
          <w:rFonts w:ascii="Arial" w:hAnsi="Arial" w:cs="Arial"/>
          <w:b w:val="0"/>
          <w:sz w:val="20"/>
          <w:szCs w:val="20"/>
        </w:rPr>
        <w:t>OMS : Organisation mondiale de la santé (en anglais, WHO)</w:t>
      </w:r>
    </w:p>
    <w:p w:rsidR="008645DF" w:rsidRPr="006A0DCB" w:rsidRDefault="008645DF" w:rsidP="008645DF">
      <w:pPr>
        <w:rPr>
          <w:rFonts w:ascii="Arial" w:eastAsia="Times New Roman" w:hAnsi="Arial" w:cs="Arial"/>
          <w:bCs/>
          <w:sz w:val="20"/>
          <w:szCs w:val="20"/>
          <w:lang w:eastAsia="fr-FR"/>
        </w:rPr>
      </w:pPr>
      <w:r w:rsidRPr="00CE1A0D">
        <w:rPr>
          <w:rStyle w:val="lev"/>
          <w:rFonts w:ascii="Arial" w:hAnsi="Arial" w:cs="Arial"/>
          <w:b w:val="0"/>
          <w:sz w:val="20"/>
          <w:szCs w:val="20"/>
        </w:rPr>
        <w:t>PAPR :</w:t>
      </w:r>
      <w:r w:rsidRPr="006A0DCB">
        <w:rPr>
          <w:rStyle w:val="lev"/>
          <w:rFonts w:ascii="Arial" w:hAnsi="Arial" w:cs="Arial"/>
          <w:sz w:val="20"/>
          <w:szCs w:val="20"/>
        </w:rPr>
        <w:t xml:space="preserve"> </w:t>
      </w:r>
      <w:r w:rsidRPr="006A0DCB">
        <w:rPr>
          <w:rFonts w:ascii="Arial" w:eastAsia="Times New Roman" w:hAnsi="Arial" w:cs="Arial"/>
          <w:bCs/>
          <w:sz w:val="20"/>
          <w:szCs w:val="20"/>
          <w:lang w:eastAsia="fr-FR"/>
        </w:rPr>
        <w:t>Peak-to-Average Power Ratio</w:t>
      </w:r>
    </w:p>
    <w:p w:rsidR="008645DF" w:rsidRPr="00CA670D" w:rsidRDefault="008645DF" w:rsidP="008645DF">
      <w:pPr>
        <w:rPr>
          <w:rFonts w:ascii="Arial" w:eastAsia="Times New Roman" w:hAnsi="Arial" w:cs="Arial"/>
          <w:bCs/>
          <w:sz w:val="20"/>
          <w:szCs w:val="20"/>
          <w:lang w:eastAsia="fr-FR"/>
        </w:rPr>
      </w:pPr>
      <w:r w:rsidRPr="00CA670D">
        <w:rPr>
          <w:rFonts w:ascii="Arial" w:eastAsia="Times New Roman" w:hAnsi="Arial" w:cs="Arial"/>
          <w:bCs/>
          <w:sz w:val="20"/>
          <w:szCs w:val="20"/>
          <w:lang w:eastAsia="fr-FR"/>
        </w:rPr>
        <w:t>POEM26 : Prévention des ondes électromagnétiques, dans la Drôme</w:t>
      </w:r>
    </w:p>
    <w:p w:rsidR="008645DF" w:rsidRPr="00CA670D" w:rsidRDefault="008645DF" w:rsidP="008645DF">
      <w:pPr>
        <w:rPr>
          <w:rFonts w:ascii="Arial" w:eastAsia="Times New Roman" w:hAnsi="Arial" w:cs="Arial"/>
          <w:bCs/>
          <w:sz w:val="20"/>
          <w:szCs w:val="20"/>
          <w:lang w:eastAsia="fr-FR"/>
        </w:rPr>
      </w:pPr>
      <w:r w:rsidRPr="00CA670D">
        <w:rPr>
          <w:rFonts w:ascii="Arial" w:eastAsia="Times New Roman" w:hAnsi="Arial" w:cs="Arial"/>
          <w:bCs/>
          <w:sz w:val="20"/>
          <w:szCs w:val="20"/>
          <w:lang w:eastAsia="fr-FR"/>
        </w:rPr>
        <w:t>PRIARTEM : Pour rassembler, informer, agir sur les risques liés aux technologies électromagnétiques</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RF : Radiofrequency</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UMTS : Universal Mobile Telecommunications System</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SAR : Specific Absorption Rate ou DAS : Débit d’absorption spécifique</w:t>
      </w:r>
    </w:p>
    <w:p w:rsidR="008645DF" w:rsidRPr="00CA670D" w:rsidRDefault="008645DF" w:rsidP="008645DF">
      <w:pPr>
        <w:rPr>
          <w:rFonts w:ascii="Arial" w:eastAsia="Times New Roman" w:hAnsi="Arial" w:cs="Arial"/>
          <w:bCs/>
          <w:sz w:val="20"/>
          <w:szCs w:val="20"/>
          <w:lang w:eastAsia="fr-FR"/>
        </w:rPr>
      </w:pPr>
      <w:r w:rsidRPr="00CA670D">
        <w:rPr>
          <w:rFonts w:ascii="Arial" w:eastAsia="Times New Roman" w:hAnsi="Arial" w:cs="Arial"/>
          <w:bCs/>
          <w:sz w:val="20"/>
          <w:szCs w:val="20"/>
          <w:lang w:eastAsia="fr-FR"/>
        </w:rPr>
        <w:t xml:space="preserve">VGCC : </w:t>
      </w:r>
      <w:r w:rsidRPr="00CE1A0D">
        <w:rPr>
          <w:rStyle w:val="lev"/>
          <w:rFonts w:ascii="Arial" w:hAnsi="Arial" w:cs="Arial"/>
          <w:b w:val="0"/>
          <w:sz w:val="20"/>
          <w:szCs w:val="20"/>
          <w:shd w:val="clear" w:color="auto" w:fill="FFFFFF"/>
        </w:rPr>
        <w:t>Voltage-gated calcium channel (canal calcique voltage-dépendant)</w:t>
      </w:r>
    </w:p>
    <w:p w:rsidR="008645DF" w:rsidRPr="00CA670D" w:rsidRDefault="008645DF" w:rsidP="008645DF">
      <w:pPr>
        <w:rPr>
          <w:rFonts w:ascii="Arial" w:hAnsi="Arial" w:cs="Arial"/>
          <w:sz w:val="20"/>
          <w:szCs w:val="20"/>
        </w:rPr>
      </w:pPr>
      <w:r w:rsidRPr="00CA670D">
        <w:rPr>
          <w:rFonts w:ascii="Arial" w:hAnsi="Arial" w:cs="Arial"/>
          <w:sz w:val="20"/>
          <w:szCs w:val="20"/>
        </w:rPr>
        <w:t xml:space="preserve">W/m² (densité de puissance) : </w:t>
      </w:r>
      <w:r>
        <w:rPr>
          <w:rFonts w:ascii="Arial" w:hAnsi="Arial" w:cs="Arial"/>
          <w:sz w:val="20"/>
          <w:szCs w:val="20"/>
        </w:rPr>
        <w:t>unité de l’</w:t>
      </w:r>
      <w:r w:rsidRPr="002976F6">
        <w:rPr>
          <w:rStyle w:val="lev"/>
          <w:rFonts w:ascii="Arial" w:hAnsi="Arial" w:cs="Arial"/>
          <w:b w:val="0"/>
          <w:sz w:val="20"/>
          <w:szCs w:val="20"/>
        </w:rPr>
        <w:t>énergie incidente reçue</w:t>
      </w:r>
      <w:r w:rsidRPr="00CA670D">
        <w:rPr>
          <w:rFonts w:ascii="Arial" w:hAnsi="Arial" w:cs="Arial"/>
          <w:sz w:val="20"/>
          <w:szCs w:val="20"/>
        </w:rPr>
        <w:t xml:space="preserve"> sur une surface, mesure l’intensité d’une onde dans l’environnement</w:t>
      </w:r>
    </w:p>
    <w:p w:rsidR="008645DF" w:rsidRPr="00CA670D" w:rsidRDefault="008645DF" w:rsidP="008645DF">
      <w:pPr>
        <w:rPr>
          <w:rFonts w:ascii="Arial" w:hAnsi="Arial" w:cs="Arial"/>
          <w:sz w:val="20"/>
          <w:szCs w:val="20"/>
        </w:rPr>
      </w:pPr>
      <w:r w:rsidRPr="00CA670D">
        <w:rPr>
          <w:rFonts w:ascii="Arial" w:hAnsi="Arial" w:cs="Arial"/>
          <w:sz w:val="20"/>
          <w:szCs w:val="20"/>
        </w:rPr>
        <w:t xml:space="preserve">W/kg (DAS/SAR) : </w:t>
      </w:r>
      <w:r>
        <w:rPr>
          <w:rFonts w:ascii="Arial" w:hAnsi="Arial" w:cs="Arial"/>
          <w:sz w:val="20"/>
          <w:szCs w:val="20"/>
        </w:rPr>
        <w:t>unité de l’</w:t>
      </w:r>
      <w:r w:rsidRPr="00CA670D">
        <w:rPr>
          <w:rFonts w:ascii="Arial" w:hAnsi="Arial" w:cs="Arial"/>
          <w:sz w:val="20"/>
          <w:szCs w:val="20"/>
        </w:rPr>
        <w:t>énergie absorbée par le corps</w:t>
      </w:r>
    </w:p>
    <w:p w:rsidR="008645DF" w:rsidRPr="00CA670D" w:rsidRDefault="008645DF" w:rsidP="008645DF">
      <w:pPr>
        <w:rPr>
          <w:rFonts w:ascii="Arial" w:hAnsi="Arial" w:cs="Arial"/>
          <w:sz w:val="20"/>
          <w:szCs w:val="20"/>
          <w:shd w:val="clear" w:color="auto" w:fill="FFFFFF"/>
        </w:rPr>
      </w:pPr>
      <w:r w:rsidRPr="00CA670D">
        <w:rPr>
          <w:rFonts w:ascii="Arial" w:hAnsi="Arial" w:cs="Arial"/>
          <w:sz w:val="20"/>
          <w:szCs w:val="20"/>
          <w:shd w:val="clear" w:color="auto" w:fill="FFFFFF"/>
        </w:rPr>
        <w:t>WCDMA : Wideband Code Division Multiple Access</w:t>
      </w:r>
    </w:p>
    <w:p w:rsidR="008645DF" w:rsidRPr="00CA670D" w:rsidRDefault="008645DF" w:rsidP="008645DF">
      <w:pPr>
        <w:rPr>
          <w:rFonts w:ascii="Arial" w:hAnsi="Arial" w:cs="Arial"/>
          <w:sz w:val="20"/>
          <w:szCs w:val="20"/>
          <w:shd w:val="clear" w:color="auto" w:fill="FFFFFF"/>
        </w:rPr>
      </w:pPr>
    </w:p>
    <w:p w:rsidR="008645DF" w:rsidRPr="00CA670D" w:rsidRDefault="008645DF" w:rsidP="008645DF">
      <w:pPr>
        <w:rPr>
          <w:rFonts w:ascii="Arial" w:hAnsi="Arial" w:cs="Arial"/>
          <w:sz w:val="20"/>
          <w:szCs w:val="20"/>
        </w:rPr>
      </w:pPr>
    </w:p>
    <w:p w:rsidR="008645DF" w:rsidRPr="00BB32C6" w:rsidRDefault="008645DF" w:rsidP="008645DF">
      <w:pPr>
        <w:rPr>
          <w:rFonts w:ascii="Arial" w:hAnsi="Arial" w:cs="Arial"/>
          <w:sz w:val="20"/>
          <w:szCs w:val="20"/>
        </w:rPr>
      </w:pPr>
    </w:p>
    <w:p w:rsidR="009D4DEB" w:rsidRDefault="009D4DEB">
      <w:pPr>
        <w:rPr>
          <w:rFonts w:ascii="Arial" w:hAnsi="Arial" w:cs="Arial"/>
          <w:sz w:val="20"/>
          <w:szCs w:val="20"/>
        </w:rPr>
      </w:pPr>
      <w:r>
        <w:rPr>
          <w:rFonts w:ascii="Arial" w:hAnsi="Arial" w:cs="Arial"/>
          <w:sz w:val="20"/>
          <w:szCs w:val="20"/>
        </w:rPr>
        <w:br w:type="page"/>
      </w:r>
    </w:p>
    <w:p w:rsidR="009D4DEB" w:rsidRPr="00470AC9" w:rsidRDefault="009D4DEB" w:rsidP="009D4DEB">
      <w:pPr>
        <w:spacing w:line="276" w:lineRule="auto"/>
        <w:jc w:val="center"/>
        <w:rPr>
          <w:rFonts w:ascii="Arial" w:hAnsi="Arial" w:cs="Arial"/>
          <w:b/>
          <w:sz w:val="24"/>
          <w:szCs w:val="24"/>
          <w:u w:val="single"/>
        </w:rPr>
      </w:pPr>
      <w:r w:rsidRPr="00470AC9">
        <w:rPr>
          <w:rFonts w:ascii="Arial" w:hAnsi="Arial" w:cs="Arial"/>
          <w:b/>
          <w:sz w:val="24"/>
          <w:szCs w:val="24"/>
          <w:u w:val="single"/>
        </w:rPr>
        <w:lastRenderedPageBreak/>
        <w:t>Sommaire</w:t>
      </w:r>
    </w:p>
    <w:p w:rsidR="009D4DEB" w:rsidRPr="00470AC9" w:rsidRDefault="009D4DEB" w:rsidP="009D4DEB">
      <w:pPr>
        <w:spacing w:line="276" w:lineRule="auto"/>
        <w:rPr>
          <w:rFonts w:ascii="Arial" w:hAnsi="Arial" w:cs="Arial"/>
          <w:sz w:val="20"/>
          <w:szCs w:val="20"/>
        </w:rPr>
      </w:pPr>
    </w:p>
    <w:p w:rsidR="009D4DEB" w:rsidRDefault="009D4DEB" w:rsidP="009F3BB0">
      <w:pPr>
        <w:pStyle w:val="Paragraphedeliste"/>
        <w:numPr>
          <w:ilvl w:val="0"/>
          <w:numId w:val="34"/>
        </w:numPr>
        <w:spacing w:line="276" w:lineRule="auto"/>
        <w:ind w:left="0" w:firstLine="0"/>
        <w:rPr>
          <w:rFonts w:ascii="Arial" w:hAnsi="Arial" w:cs="Arial"/>
          <w:b/>
          <w:sz w:val="20"/>
          <w:szCs w:val="20"/>
        </w:rPr>
      </w:pPr>
      <w:r w:rsidRPr="00470AC9">
        <w:rPr>
          <w:rFonts w:ascii="Arial" w:hAnsi="Arial" w:cs="Arial"/>
          <w:b/>
          <w:sz w:val="20"/>
          <w:szCs w:val="20"/>
        </w:rPr>
        <w:t xml:space="preserve">Identification et caractérisation des expositions aux radiofréquences liées aux </w:t>
      </w:r>
    </w:p>
    <w:p w:rsidR="009D4DEB" w:rsidRPr="00470AC9" w:rsidRDefault="009D4DEB" w:rsidP="009D4DEB">
      <w:pPr>
        <w:pStyle w:val="Paragraphedeliste"/>
        <w:spacing w:line="276" w:lineRule="auto"/>
        <w:ind w:left="0" w:firstLine="708"/>
        <w:rPr>
          <w:rFonts w:ascii="Arial" w:hAnsi="Arial" w:cs="Arial"/>
          <w:b/>
          <w:sz w:val="20"/>
          <w:szCs w:val="20"/>
        </w:rPr>
      </w:pPr>
      <w:r w:rsidRPr="00470AC9">
        <w:rPr>
          <w:rFonts w:ascii="Arial" w:hAnsi="Arial" w:cs="Arial"/>
          <w:b/>
          <w:sz w:val="20"/>
          <w:szCs w:val="20"/>
        </w:rPr>
        <w:t>technologies de communication sans fil : un sujet complexe et multiple</w:t>
      </w:r>
      <w:r>
        <w:rPr>
          <w:rFonts w:ascii="Arial" w:hAnsi="Arial" w:cs="Arial"/>
          <w:b/>
          <w:sz w:val="20"/>
          <w:szCs w:val="20"/>
        </w:rPr>
        <w:tab/>
      </w:r>
      <w:r>
        <w:rPr>
          <w:rFonts w:ascii="Arial" w:hAnsi="Arial" w:cs="Arial"/>
          <w:b/>
          <w:sz w:val="20"/>
          <w:szCs w:val="20"/>
        </w:rPr>
        <w:tab/>
        <w:t>p.2</w:t>
      </w:r>
    </w:p>
    <w:p w:rsidR="009D4DEB" w:rsidRPr="00091B48" w:rsidRDefault="009D4DEB" w:rsidP="009F3BB0">
      <w:pPr>
        <w:pStyle w:val="Paragraphedeliste"/>
        <w:numPr>
          <w:ilvl w:val="1"/>
          <w:numId w:val="34"/>
        </w:numPr>
        <w:spacing w:line="276" w:lineRule="auto"/>
        <w:rPr>
          <w:rFonts w:ascii="Arial" w:hAnsi="Arial" w:cs="Arial"/>
          <w:sz w:val="20"/>
          <w:szCs w:val="20"/>
        </w:rPr>
      </w:pPr>
      <w:r w:rsidRPr="00091B48">
        <w:rPr>
          <w:rFonts w:ascii="Arial" w:hAnsi="Arial" w:cs="Arial"/>
          <w:sz w:val="20"/>
          <w:szCs w:val="20"/>
        </w:rPr>
        <w:t>Radiofréquences utilisées par les technologies sans fil : un cadre conceptuel à cerner</w:t>
      </w:r>
    </w:p>
    <w:p w:rsidR="009D4DEB" w:rsidRPr="00470AC9" w:rsidRDefault="009D4DEB" w:rsidP="009F3BB0">
      <w:pPr>
        <w:pStyle w:val="Paragraphedeliste"/>
        <w:numPr>
          <w:ilvl w:val="1"/>
          <w:numId w:val="34"/>
        </w:numPr>
        <w:spacing w:line="276" w:lineRule="auto"/>
        <w:rPr>
          <w:rFonts w:ascii="Arial" w:hAnsi="Arial" w:cs="Arial"/>
          <w:sz w:val="20"/>
          <w:szCs w:val="20"/>
        </w:rPr>
      </w:pPr>
      <w:r w:rsidRPr="00470AC9">
        <w:rPr>
          <w:rFonts w:ascii="Arial" w:hAnsi="Arial" w:cs="Arial"/>
          <w:noProof/>
          <w:sz w:val="20"/>
          <w:szCs w:val="20"/>
        </w:rPr>
        <w:t>Du mille-feuilles au gloubi-boulga </w:t>
      </w:r>
    </w:p>
    <w:p w:rsidR="00091B48" w:rsidRDefault="009D4DEB" w:rsidP="009F3BB0">
      <w:pPr>
        <w:pStyle w:val="Paragraphedeliste"/>
        <w:numPr>
          <w:ilvl w:val="1"/>
          <w:numId w:val="34"/>
        </w:numPr>
        <w:spacing w:line="276" w:lineRule="auto"/>
        <w:rPr>
          <w:rFonts w:ascii="Arial" w:hAnsi="Arial" w:cs="Arial"/>
          <w:sz w:val="20"/>
          <w:szCs w:val="20"/>
        </w:rPr>
      </w:pPr>
      <w:r w:rsidRPr="00091B48">
        <w:rPr>
          <w:rFonts w:ascii="Arial" w:hAnsi="Arial" w:cs="Arial"/>
          <w:noProof/>
          <w:sz w:val="20"/>
          <w:szCs w:val="20"/>
        </w:rPr>
        <w:t>Technologies de communication sans fil et fours à micr</w:t>
      </w:r>
      <w:r w:rsidR="00091B48" w:rsidRPr="00091B48">
        <w:rPr>
          <w:rFonts w:ascii="Arial" w:hAnsi="Arial" w:cs="Arial"/>
          <w:noProof/>
          <w:sz w:val="20"/>
          <w:szCs w:val="20"/>
        </w:rPr>
        <w:t xml:space="preserve">o-ondes : </w:t>
      </w:r>
    </w:p>
    <w:p w:rsidR="00091B48" w:rsidRPr="00091B48" w:rsidRDefault="00091B48" w:rsidP="00091B48">
      <w:pPr>
        <w:pStyle w:val="Paragraphedeliste"/>
        <w:spacing w:line="276" w:lineRule="auto"/>
        <w:ind w:left="1440" w:firstLine="0"/>
        <w:rPr>
          <w:rFonts w:ascii="Arial" w:hAnsi="Arial" w:cs="Arial"/>
          <w:sz w:val="20"/>
          <w:szCs w:val="20"/>
        </w:rPr>
      </w:pPr>
      <w:r w:rsidRPr="00091B48">
        <w:rPr>
          <w:rFonts w:ascii="Arial" w:hAnsi="Arial" w:cs="Arial"/>
          <w:noProof/>
          <w:sz w:val="20"/>
          <w:szCs w:val="20"/>
        </w:rPr>
        <w:t>l’information fait la</w:t>
      </w:r>
      <w:r>
        <w:rPr>
          <w:rFonts w:ascii="Arial" w:hAnsi="Arial" w:cs="Arial"/>
          <w:noProof/>
          <w:sz w:val="20"/>
          <w:szCs w:val="20"/>
        </w:rPr>
        <w:t xml:space="preserve"> </w:t>
      </w:r>
      <w:r w:rsidR="009D4DEB" w:rsidRPr="00091B48">
        <w:rPr>
          <w:rFonts w:ascii="Arial" w:hAnsi="Arial" w:cs="Arial"/>
          <w:noProof/>
          <w:sz w:val="20"/>
          <w:szCs w:val="20"/>
        </w:rPr>
        <w:t>différence</w:t>
      </w:r>
    </w:p>
    <w:p w:rsidR="009D4DEB" w:rsidRPr="00470AC9" w:rsidRDefault="009D4DEB" w:rsidP="009F3BB0">
      <w:pPr>
        <w:pStyle w:val="Paragraphedeliste"/>
        <w:numPr>
          <w:ilvl w:val="2"/>
          <w:numId w:val="34"/>
        </w:numPr>
        <w:spacing w:line="276" w:lineRule="auto"/>
        <w:rPr>
          <w:rFonts w:ascii="Arial" w:hAnsi="Arial" w:cs="Arial"/>
          <w:sz w:val="20"/>
          <w:szCs w:val="20"/>
        </w:rPr>
      </w:pPr>
      <w:r w:rsidRPr="00470AC9">
        <w:rPr>
          <w:rFonts w:ascii="Arial" w:hAnsi="Arial" w:cs="Arial"/>
          <w:noProof/>
          <w:sz w:val="20"/>
          <w:szCs w:val="20"/>
        </w:rPr>
        <w:t>Hyperfréquence porteuse d’information / pas porteuse d’information</w:t>
      </w:r>
      <w:r w:rsidRPr="00470AC9">
        <w:rPr>
          <w:rFonts w:ascii="Arial" w:hAnsi="Arial" w:cs="Arial"/>
          <w:sz w:val="20"/>
          <w:szCs w:val="20"/>
        </w:rPr>
        <w:t xml:space="preserve"> </w:t>
      </w:r>
    </w:p>
    <w:p w:rsidR="009D4DEB" w:rsidRPr="00470AC9" w:rsidRDefault="009D4DEB" w:rsidP="009F3BB0">
      <w:pPr>
        <w:pStyle w:val="NormalWeb"/>
        <w:numPr>
          <w:ilvl w:val="2"/>
          <w:numId w:val="34"/>
        </w:numPr>
        <w:spacing w:after="240" w:afterAutospacing="0" w:line="276" w:lineRule="auto"/>
        <w:jc w:val="both"/>
        <w:rPr>
          <w:rFonts w:ascii="Arial" w:hAnsi="Arial" w:cs="Arial"/>
          <w:sz w:val="20"/>
          <w:szCs w:val="20"/>
        </w:rPr>
      </w:pPr>
      <w:r w:rsidRPr="00470AC9">
        <w:rPr>
          <w:rFonts w:ascii="Arial" w:hAnsi="Arial" w:cs="Arial"/>
          <w:sz w:val="20"/>
          <w:szCs w:val="20"/>
        </w:rPr>
        <w:t>Une complexité nécessitant une approche interdisciplinaire</w:t>
      </w:r>
    </w:p>
    <w:p w:rsidR="009D4DEB" w:rsidRPr="00470AC9" w:rsidRDefault="009D4DEB" w:rsidP="009F3BB0">
      <w:pPr>
        <w:pStyle w:val="NormalWeb"/>
        <w:numPr>
          <w:ilvl w:val="0"/>
          <w:numId w:val="34"/>
        </w:numPr>
        <w:spacing w:line="276" w:lineRule="auto"/>
        <w:ind w:left="0" w:firstLine="0"/>
        <w:jc w:val="both"/>
        <w:rPr>
          <w:rFonts w:ascii="Arial" w:hAnsi="Arial" w:cs="Arial"/>
          <w:b/>
          <w:sz w:val="20"/>
          <w:szCs w:val="20"/>
        </w:rPr>
      </w:pPr>
      <w:r w:rsidRPr="00470AC9">
        <w:rPr>
          <w:rFonts w:ascii="Arial" w:hAnsi="Arial" w:cs="Arial"/>
          <w:b/>
          <w:sz w:val="20"/>
          <w:szCs w:val="20"/>
        </w:rPr>
        <w:t>Caractérisation du phénomène « Technologies de communication sans fil »</w:t>
      </w:r>
      <w:r>
        <w:rPr>
          <w:rFonts w:ascii="Arial" w:hAnsi="Arial" w:cs="Arial"/>
          <w:b/>
          <w:sz w:val="20"/>
          <w:szCs w:val="20"/>
        </w:rPr>
        <w:tab/>
        <w:t>p.8</w:t>
      </w:r>
    </w:p>
    <w:p w:rsidR="009D4DEB" w:rsidRPr="00470AC9" w:rsidRDefault="009D4DEB" w:rsidP="009F3BB0">
      <w:pPr>
        <w:pStyle w:val="NormalWeb"/>
        <w:numPr>
          <w:ilvl w:val="1"/>
          <w:numId w:val="34"/>
        </w:numPr>
        <w:spacing w:line="276" w:lineRule="auto"/>
        <w:jc w:val="both"/>
        <w:rPr>
          <w:rFonts w:ascii="Arial" w:hAnsi="Arial" w:cs="Arial"/>
          <w:sz w:val="20"/>
          <w:szCs w:val="20"/>
        </w:rPr>
      </w:pPr>
      <w:r w:rsidRPr="00470AC9">
        <w:rPr>
          <w:rFonts w:ascii="Arial" w:hAnsi="Arial" w:cs="Arial"/>
          <w:sz w:val="20"/>
          <w:szCs w:val="20"/>
        </w:rPr>
        <w:t>Technologies sans fil : des émissions anthropiques</w:t>
      </w:r>
    </w:p>
    <w:p w:rsidR="009D4DEB" w:rsidRPr="00470AC9" w:rsidRDefault="009D4DEB" w:rsidP="009F3BB0">
      <w:pPr>
        <w:pStyle w:val="NormalWeb"/>
        <w:numPr>
          <w:ilvl w:val="1"/>
          <w:numId w:val="34"/>
        </w:numPr>
        <w:spacing w:line="276" w:lineRule="auto"/>
        <w:jc w:val="both"/>
        <w:rPr>
          <w:rFonts w:ascii="Arial" w:hAnsi="Arial" w:cs="Arial"/>
          <w:sz w:val="20"/>
          <w:szCs w:val="20"/>
        </w:rPr>
      </w:pPr>
      <w:r w:rsidRPr="00470AC9">
        <w:rPr>
          <w:rFonts w:ascii="Arial" w:hAnsi="Arial" w:cs="Arial"/>
          <w:sz w:val="20"/>
          <w:szCs w:val="20"/>
        </w:rPr>
        <w:t>Technologies sans fil : un phénomène récent</w:t>
      </w:r>
    </w:p>
    <w:p w:rsidR="009D4DEB" w:rsidRPr="00470AC9" w:rsidRDefault="009D4DEB" w:rsidP="009F3BB0">
      <w:pPr>
        <w:pStyle w:val="NormalWeb"/>
        <w:numPr>
          <w:ilvl w:val="1"/>
          <w:numId w:val="34"/>
        </w:numPr>
        <w:spacing w:line="276" w:lineRule="auto"/>
        <w:jc w:val="both"/>
        <w:rPr>
          <w:rFonts w:ascii="Arial" w:hAnsi="Arial" w:cs="Arial"/>
          <w:sz w:val="20"/>
          <w:szCs w:val="20"/>
        </w:rPr>
      </w:pPr>
      <w:r w:rsidRPr="00470AC9">
        <w:rPr>
          <w:rFonts w:ascii="Arial" w:hAnsi="Arial" w:cs="Arial"/>
          <w:sz w:val="20"/>
          <w:szCs w:val="20"/>
          <w:shd w:val="clear" w:color="auto" w:fill="FFFFFF"/>
        </w:rPr>
        <w:t>Technologies sans fil : un phénomène évolutif</w:t>
      </w:r>
    </w:p>
    <w:p w:rsidR="009D4DEB" w:rsidRPr="00EE275C" w:rsidRDefault="009D4DEB" w:rsidP="009F3BB0">
      <w:pPr>
        <w:pStyle w:val="NormalWeb"/>
        <w:numPr>
          <w:ilvl w:val="1"/>
          <w:numId w:val="34"/>
        </w:numPr>
        <w:spacing w:line="276" w:lineRule="auto"/>
        <w:jc w:val="both"/>
        <w:rPr>
          <w:rFonts w:ascii="Arial" w:hAnsi="Arial" w:cs="Arial"/>
          <w:sz w:val="20"/>
          <w:szCs w:val="20"/>
        </w:rPr>
      </w:pPr>
      <w:r w:rsidRPr="00EE275C">
        <w:rPr>
          <w:rFonts w:ascii="Arial" w:hAnsi="Arial" w:cs="Arial"/>
          <w:sz w:val="20"/>
          <w:szCs w:val="20"/>
        </w:rPr>
        <w:t>Technologies sans fil : un phénomène invasif </w:t>
      </w:r>
    </w:p>
    <w:p w:rsidR="009D4DEB" w:rsidRDefault="009D4DEB" w:rsidP="009F3BB0">
      <w:pPr>
        <w:pStyle w:val="NormalWeb"/>
        <w:numPr>
          <w:ilvl w:val="2"/>
          <w:numId w:val="34"/>
        </w:numPr>
        <w:spacing w:line="276" w:lineRule="auto"/>
        <w:jc w:val="both"/>
        <w:rPr>
          <w:rFonts w:ascii="Arial" w:hAnsi="Arial" w:cs="Arial"/>
          <w:sz w:val="20"/>
          <w:szCs w:val="20"/>
        </w:rPr>
      </w:pPr>
      <w:r>
        <w:rPr>
          <w:rFonts w:ascii="Arial" w:hAnsi="Arial" w:cs="Arial"/>
          <w:sz w:val="20"/>
          <w:szCs w:val="20"/>
        </w:rPr>
        <w:t>Caractéristique quantitative</w:t>
      </w:r>
    </w:p>
    <w:p w:rsidR="009D4DEB" w:rsidRPr="00B52E77" w:rsidRDefault="009D4DEB" w:rsidP="009F3BB0">
      <w:pPr>
        <w:pStyle w:val="NormalWeb"/>
        <w:numPr>
          <w:ilvl w:val="2"/>
          <w:numId w:val="34"/>
        </w:numPr>
        <w:spacing w:before="0" w:beforeAutospacing="0" w:line="276" w:lineRule="auto"/>
        <w:jc w:val="both"/>
        <w:rPr>
          <w:rFonts w:ascii="Arial" w:hAnsi="Arial" w:cs="Arial"/>
          <w:sz w:val="20"/>
          <w:szCs w:val="20"/>
        </w:rPr>
      </w:pPr>
      <w:r>
        <w:rPr>
          <w:rFonts w:ascii="Arial" w:hAnsi="Arial" w:cs="Arial"/>
          <w:sz w:val="20"/>
          <w:szCs w:val="20"/>
        </w:rPr>
        <w:t>Caractéristique qualitative liée à la nature des ondes</w:t>
      </w:r>
    </w:p>
    <w:p w:rsidR="009D4DEB" w:rsidRPr="00091B48" w:rsidRDefault="009D4DEB" w:rsidP="009F3BB0">
      <w:pPr>
        <w:pStyle w:val="NormalWeb"/>
        <w:numPr>
          <w:ilvl w:val="0"/>
          <w:numId w:val="34"/>
        </w:numPr>
        <w:spacing w:before="240" w:beforeAutospacing="0" w:after="0" w:afterAutospacing="0" w:line="276" w:lineRule="auto"/>
        <w:ind w:left="0" w:firstLine="0"/>
        <w:jc w:val="both"/>
        <w:rPr>
          <w:rFonts w:ascii="Arial" w:hAnsi="Arial" w:cs="Arial"/>
          <w:b/>
          <w:sz w:val="20"/>
          <w:szCs w:val="20"/>
        </w:rPr>
      </w:pPr>
      <w:r w:rsidRPr="00470AC9">
        <w:rPr>
          <w:rFonts w:ascii="Arial" w:hAnsi="Arial" w:cs="Arial"/>
          <w:b/>
          <w:color w:val="000000"/>
          <w:sz w:val="20"/>
          <w:szCs w:val="20"/>
        </w:rPr>
        <w:t xml:space="preserve">Etat des connaissances scientifiques actuelles  sur les effets biologiques </w:t>
      </w:r>
      <w:r w:rsidR="00091B48">
        <w:rPr>
          <w:rFonts w:ascii="Arial" w:hAnsi="Arial" w:cs="Arial"/>
          <w:b/>
          <w:color w:val="000000"/>
          <w:sz w:val="20"/>
          <w:szCs w:val="20"/>
        </w:rPr>
        <w:t>des technologies</w:t>
      </w:r>
      <w:r w:rsidR="00091B48">
        <w:rPr>
          <w:rFonts w:ascii="Arial" w:hAnsi="Arial" w:cs="Arial"/>
          <w:b/>
          <w:sz w:val="20"/>
          <w:szCs w:val="20"/>
        </w:rPr>
        <w:tab/>
      </w:r>
      <w:r w:rsidR="00091B48" w:rsidRPr="00091B48">
        <w:rPr>
          <w:rFonts w:ascii="Arial" w:hAnsi="Arial" w:cs="Arial"/>
          <w:b/>
          <w:sz w:val="20"/>
          <w:szCs w:val="20"/>
        </w:rPr>
        <w:t>s</w:t>
      </w:r>
      <w:r w:rsidRPr="00091B48">
        <w:rPr>
          <w:rFonts w:ascii="Arial" w:hAnsi="Arial" w:cs="Arial"/>
          <w:b/>
          <w:color w:val="000000"/>
          <w:sz w:val="20"/>
          <w:szCs w:val="20"/>
        </w:rPr>
        <w:t>ans fil</w:t>
      </w:r>
      <w:r w:rsidRPr="00091B48">
        <w:rPr>
          <w:rFonts w:ascii="Arial" w:hAnsi="Arial" w:cs="Arial"/>
          <w:b/>
          <w:color w:val="000000"/>
          <w:sz w:val="20"/>
          <w:szCs w:val="20"/>
        </w:rPr>
        <w:tab/>
      </w:r>
      <w:r w:rsidR="00091B48" w:rsidRPr="00091B48">
        <w:rPr>
          <w:rFonts w:ascii="Arial" w:hAnsi="Arial" w:cs="Arial"/>
          <w:b/>
          <w:color w:val="000000"/>
          <w:sz w:val="20"/>
          <w:szCs w:val="20"/>
        </w:rPr>
        <w:tab/>
      </w:r>
      <w:r w:rsidR="00091B48" w:rsidRPr="00091B48">
        <w:rPr>
          <w:rFonts w:ascii="Arial" w:hAnsi="Arial" w:cs="Arial"/>
          <w:b/>
          <w:color w:val="000000"/>
          <w:sz w:val="20"/>
          <w:szCs w:val="20"/>
        </w:rPr>
        <w:tab/>
      </w:r>
      <w:r w:rsidR="00091B48" w:rsidRPr="00091B48">
        <w:rPr>
          <w:rFonts w:ascii="Arial" w:hAnsi="Arial" w:cs="Arial"/>
          <w:b/>
          <w:color w:val="000000"/>
          <w:sz w:val="20"/>
          <w:szCs w:val="20"/>
        </w:rPr>
        <w:tab/>
      </w:r>
      <w:r w:rsidR="00091B48" w:rsidRPr="00091B48">
        <w:rPr>
          <w:rFonts w:ascii="Arial" w:hAnsi="Arial" w:cs="Arial"/>
          <w:b/>
          <w:color w:val="000000"/>
          <w:sz w:val="20"/>
          <w:szCs w:val="20"/>
        </w:rPr>
        <w:tab/>
      </w:r>
      <w:r w:rsidR="00091B48" w:rsidRPr="00091B48">
        <w:rPr>
          <w:rFonts w:ascii="Arial" w:hAnsi="Arial" w:cs="Arial"/>
          <w:b/>
          <w:color w:val="000000"/>
          <w:sz w:val="20"/>
          <w:szCs w:val="20"/>
        </w:rPr>
        <w:tab/>
      </w:r>
      <w:r w:rsidR="00091B48" w:rsidRPr="00091B48">
        <w:rPr>
          <w:rFonts w:ascii="Arial" w:hAnsi="Arial" w:cs="Arial"/>
          <w:b/>
          <w:color w:val="000000"/>
          <w:sz w:val="20"/>
          <w:szCs w:val="20"/>
        </w:rPr>
        <w:tab/>
      </w:r>
      <w:r w:rsidR="00091B48" w:rsidRPr="00091B48">
        <w:rPr>
          <w:rFonts w:ascii="Arial" w:hAnsi="Arial" w:cs="Arial"/>
          <w:b/>
          <w:color w:val="000000"/>
          <w:sz w:val="20"/>
          <w:szCs w:val="20"/>
        </w:rPr>
        <w:tab/>
      </w:r>
      <w:r w:rsidR="00091B48" w:rsidRPr="00091B48">
        <w:rPr>
          <w:rFonts w:ascii="Arial" w:hAnsi="Arial" w:cs="Arial"/>
          <w:b/>
          <w:color w:val="000000"/>
          <w:sz w:val="20"/>
          <w:szCs w:val="20"/>
        </w:rPr>
        <w:tab/>
      </w:r>
      <w:r w:rsidR="00091B48" w:rsidRPr="00091B48">
        <w:rPr>
          <w:rFonts w:ascii="Arial" w:hAnsi="Arial" w:cs="Arial"/>
          <w:b/>
          <w:color w:val="000000"/>
          <w:sz w:val="20"/>
          <w:szCs w:val="20"/>
        </w:rPr>
        <w:tab/>
      </w:r>
      <w:r w:rsidR="00091B48" w:rsidRPr="00091B48">
        <w:rPr>
          <w:rFonts w:ascii="Arial" w:hAnsi="Arial" w:cs="Arial"/>
          <w:b/>
          <w:color w:val="000000"/>
          <w:sz w:val="20"/>
          <w:szCs w:val="20"/>
        </w:rPr>
        <w:tab/>
        <w:t>p.12</w:t>
      </w:r>
    </w:p>
    <w:p w:rsidR="009D4DEB" w:rsidRPr="00470AC9" w:rsidRDefault="009D4DEB" w:rsidP="009F3BB0">
      <w:pPr>
        <w:pStyle w:val="NormalWeb"/>
        <w:numPr>
          <w:ilvl w:val="1"/>
          <w:numId w:val="34"/>
        </w:numPr>
        <w:spacing w:line="276" w:lineRule="auto"/>
        <w:jc w:val="both"/>
        <w:rPr>
          <w:rFonts w:ascii="Arial" w:hAnsi="Arial" w:cs="Arial"/>
          <w:sz w:val="20"/>
          <w:szCs w:val="20"/>
        </w:rPr>
      </w:pPr>
      <w:r w:rsidRPr="00470AC9">
        <w:rPr>
          <w:rFonts w:ascii="Arial" w:hAnsi="Arial" w:cs="Arial"/>
          <w:color w:val="000000"/>
          <w:sz w:val="20"/>
          <w:szCs w:val="20"/>
        </w:rPr>
        <w:t>Effets athermiques ; ce qu’en dit la science académique </w:t>
      </w:r>
    </w:p>
    <w:p w:rsidR="009D4DEB" w:rsidRPr="00470AC9" w:rsidRDefault="009D4DEB" w:rsidP="009F3BB0">
      <w:pPr>
        <w:pStyle w:val="NormalWeb"/>
        <w:numPr>
          <w:ilvl w:val="2"/>
          <w:numId w:val="34"/>
        </w:numPr>
        <w:spacing w:line="276" w:lineRule="auto"/>
        <w:jc w:val="both"/>
        <w:rPr>
          <w:rStyle w:val="relative"/>
          <w:rFonts w:ascii="Arial" w:hAnsi="Arial" w:cs="Arial"/>
          <w:sz w:val="20"/>
          <w:szCs w:val="20"/>
        </w:rPr>
      </w:pPr>
      <w:r w:rsidRPr="00470AC9">
        <w:rPr>
          <w:rStyle w:val="relative"/>
          <w:rFonts w:ascii="Arial" w:hAnsi="Arial" w:cs="Arial"/>
          <w:sz w:val="20"/>
          <w:szCs w:val="20"/>
        </w:rPr>
        <w:t>Deux études relevant de l’approche omique </w:t>
      </w:r>
    </w:p>
    <w:p w:rsidR="009D4DEB" w:rsidRPr="00470AC9" w:rsidRDefault="009D4DEB" w:rsidP="009F3BB0">
      <w:pPr>
        <w:pStyle w:val="NormalWeb"/>
        <w:numPr>
          <w:ilvl w:val="2"/>
          <w:numId w:val="34"/>
        </w:numPr>
        <w:spacing w:line="276" w:lineRule="auto"/>
        <w:jc w:val="both"/>
        <w:rPr>
          <w:rStyle w:val="relative"/>
          <w:rFonts w:ascii="Arial" w:hAnsi="Arial" w:cs="Arial"/>
          <w:sz w:val="20"/>
          <w:szCs w:val="20"/>
        </w:rPr>
      </w:pPr>
      <w:r w:rsidRPr="00470AC9">
        <w:rPr>
          <w:rStyle w:val="relative"/>
          <w:rFonts w:ascii="Arial" w:hAnsi="Arial" w:cs="Arial"/>
          <w:sz w:val="20"/>
          <w:szCs w:val="20"/>
        </w:rPr>
        <w:t>Stress oxydatif, autres études </w:t>
      </w:r>
    </w:p>
    <w:p w:rsidR="009D4DEB" w:rsidRPr="00470AC9" w:rsidRDefault="009D4DEB" w:rsidP="009F3BB0">
      <w:pPr>
        <w:pStyle w:val="Paragraphedeliste"/>
        <w:numPr>
          <w:ilvl w:val="2"/>
          <w:numId w:val="34"/>
        </w:numPr>
        <w:spacing w:before="100" w:beforeAutospacing="1" w:after="100" w:afterAutospacing="1" w:line="276" w:lineRule="auto"/>
        <w:rPr>
          <w:rStyle w:val="relative"/>
          <w:rFonts w:ascii="Arial" w:hAnsi="Arial" w:cs="Arial"/>
          <w:sz w:val="20"/>
          <w:szCs w:val="20"/>
        </w:rPr>
      </w:pPr>
      <w:r w:rsidRPr="00470AC9">
        <w:rPr>
          <w:rStyle w:val="relative"/>
          <w:rFonts w:ascii="Arial" w:hAnsi="Arial" w:cs="Arial"/>
          <w:sz w:val="20"/>
          <w:szCs w:val="20"/>
        </w:rPr>
        <w:t>Les travaux de Martin L.Pall sur l’activation des canaux calciques</w:t>
      </w:r>
    </w:p>
    <w:p w:rsidR="009D4DEB" w:rsidRPr="00470AC9" w:rsidRDefault="009D4DEB" w:rsidP="009F3BB0">
      <w:pPr>
        <w:pStyle w:val="Paragraphedeliste"/>
        <w:numPr>
          <w:ilvl w:val="2"/>
          <w:numId w:val="34"/>
        </w:numPr>
        <w:spacing w:before="100" w:beforeAutospacing="1" w:after="100" w:afterAutospacing="1" w:line="276" w:lineRule="auto"/>
        <w:rPr>
          <w:rFonts w:ascii="Arial" w:eastAsia="Times New Roman" w:hAnsi="Arial" w:cs="Arial"/>
          <w:sz w:val="20"/>
          <w:szCs w:val="20"/>
          <w:lang w:eastAsia="fr-FR"/>
        </w:rPr>
      </w:pPr>
      <w:r w:rsidRPr="00470AC9">
        <w:rPr>
          <w:rFonts w:ascii="Arial" w:eastAsia="Times New Roman" w:hAnsi="Arial" w:cs="Arial"/>
          <w:sz w:val="20"/>
          <w:szCs w:val="20"/>
          <w:lang w:eastAsia="fr-FR"/>
        </w:rPr>
        <w:t>Encore deux pas de côté…</w:t>
      </w:r>
    </w:p>
    <w:p w:rsidR="009D4DEB" w:rsidRPr="00470AC9" w:rsidRDefault="009D4DEB" w:rsidP="009F3BB0">
      <w:pPr>
        <w:pStyle w:val="Paragraphedeliste"/>
        <w:numPr>
          <w:ilvl w:val="2"/>
          <w:numId w:val="34"/>
        </w:numPr>
        <w:spacing w:before="100" w:beforeAutospacing="1" w:after="100" w:afterAutospacing="1" w:line="276" w:lineRule="auto"/>
        <w:rPr>
          <w:rFonts w:ascii="Arial" w:eastAsia="Times New Roman" w:hAnsi="Arial" w:cs="Arial"/>
          <w:sz w:val="20"/>
          <w:szCs w:val="20"/>
          <w:lang w:eastAsia="fr-FR"/>
        </w:rPr>
      </w:pPr>
      <w:r w:rsidRPr="00470AC9">
        <w:rPr>
          <w:rFonts w:ascii="Arial" w:hAnsi="Arial" w:cs="Arial"/>
          <w:sz w:val="20"/>
          <w:szCs w:val="20"/>
        </w:rPr>
        <w:t>Observations de paramètres méthodologiques limitant la portée des études </w:t>
      </w:r>
    </w:p>
    <w:p w:rsidR="009D4DEB" w:rsidRPr="00470AC9" w:rsidRDefault="009D4DEB" w:rsidP="009F3BB0">
      <w:pPr>
        <w:pStyle w:val="Paragraphedeliste"/>
        <w:numPr>
          <w:ilvl w:val="2"/>
          <w:numId w:val="34"/>
        </w:numPr>
        <w:shd w:val="clear" w:color="auto" w:fill="FFFFFF"/>
        <w:spacing w:before="100" w:beforeAutospacing="1" w:after="100" w:afterAutospacing="1" w:line="276" w:lineRule="auto"/>
        <w:rPr>
          <w:rFonts w:ascii="Arial" w:eastAsia="Times New Roman" w:hAnsi="Arial" w:cs="Arial"/>
          <w:color w:val="000000"/>
          <w:sz w:val="20"/>
          <w:szCs w:val="20"/>
          <w:lang w:eastAsia="fr-FR"/>
        </w:rPr>
      </w:pPr>
      <w:r w:rsidRPr="00470AC9">
        <w:rPr>
          <w:rFonts w:ascii="Arial" w:eastAsia="Times New Roman" w:hAnsi="Arial" w:cs="Arial"/>
          <w:sz w:val="20"/>
          <w:szCs w:val="20"/>
          <w:lang w:eastAsia="fr-FR"/>
        </w:rPr>
        <w:t>Ce qu’en disaient les Anciens, ce que recherchent les Modernes, et des restes de la Guerre froide dans les laboratoires : deux hypothèses</w:t>
      </w:r>
    </w:p>
    <w:p w:rsidR="009D4DEB" w:rsidRPr="00470AC9" w:rsidRDefault="009D4DEB" w:rsidP="009F3BB0">
      <w:pPr>
        <w:pStyle w:val="NormalWeb"/>
        <w:numPr>
          <w:ilvl w:val="1"/>
          <w:numId w:val="34"/>
        </w:numPr>
        <w:spacing w:after="0" w:afterAutospacing="0" w:line="276" w:lineRule="auto"/>
        <w:jc w:val="both"/>
        <w:rPr>
          <w:rFonts w:ascii="Arial" w:hAnsi="Arial" w:cs="Arial"/>
          <w:sz w:val="20"/>
          <w:szCs w:val="20"/>
        </w:rPr>
      </w:pPr>
      <w:r w:rsidRPr="00470AC9">
        <w:rPr>
          <w:rFonts w:ascii="Arial" w:hAnsi="Arial" w:cs="Arial"/>
          <w:color w:val="000000"/>
          <w:sz w:val="20"/>
          <w:szCs w:val="20"/>
        </w:rPr>
        <w:t>Effets athermiques ; ce qu’en dit la science réglementaire </w:t>
      </w:r>
    </w:p>
    <w:p w:rsidR="00091B48" w:rsidRDefault="009D4DEB" w:rsidP="009F3BB0">
      <w:pPr>
        <w:pStyle w:val="Paragraphedeliste"/>
        <w:numPr>
          <w:ilvl w:val="0"/>
          <w:numId w:val="34"/>
        </w:numPr>
        <w:spacing w:before="240" w:line="276" w:lineRule="auto"/>
        <w:ind w:left="0" w:firstLine="0"/>
        <w:rPr>
          <w:rFonts w:ascii="Arial" w:hAnsi="Arial" w:cs="Arial"/>
          <w:b/>
          <w:sz w:val="20"/>
          <w:szCs w:val="20"/>
        </w:rPr>
      </w:pPr>
      <w:r w:rsidRPr="00470AC9">
        <w:rPr>
          <w:rFonts w:ascii="Arial" w:hAnsi="Arial" w:cs="Arial"/>
          <w:b/>
          <w:sz w:val="20"/>
          <w:szCs w:val="20"/>
        </w:rPr>
        <w:t xml:space="preserve">Traitement médiatique, contexte réglementaire, volontarisme politique </w:t>
      </w:r>
    </w:p>
    <w:p w:rsidR="009D4DEB" w:rsidRPr="00470AC9" w:rsidRDefault="009D4DEB" w:rsidP="00091B48">
      <w:pPr>
        <w:pStyle w:val="Paragraphedeliste"/>
        <w:spacing w:before="240" w:line="276" w:lineRule="auto"/>
        <w:ind w:left="0" w:firstLine="708"/>
        <w:rPr>
          <w:rFonts w:ascii="Arial" w:hAnsi="Arial" w:cs="Arial"/>
          <w:b/>
          <w:sz w:val="20"/>
          <w:szCs w:val="20"/>
        </w:rPr>
      </w:pPr>
      <w:r w:rsidRPr="00470AC9">
        <w:rPr>
          <w:rFonts w:ascii="Arial" w:hAnsi="Arial" w:cs="Arial"/>
          <w:b/>
          <w:sz w:val="20"/>
          <w:szCs w:val="20"/>
        </w:rPr>
        <w:t>et « les gens » :</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p.19</w:t>
      </w:r>
    </w:p>
    <w:p w:rsidR="009D4DEB" w:rsidRDefault="009D4DEB" w:rsidP="009F3BB0">
      <w:pPr>
        <w:pStyle w:val="Paragraphedeliste"/>
        <w:numPr>
          <w:ilvl w:val="1"/>
          <w:numId w:val="34"/>
        </w:numPr>
        <w:spacing w:line="276" w:lineRule="auto"/>
        <w:rPr>
          <w:rFonts w:ascii="Arial" w:hAnsi="Arial" w:cs="Arial"/>
          <w:sz w:val="20"/>
          <w:szCs w:val="20"/>
        </w:rPr>
      </w:pPr>
      <w:r w:rsidRPr="00470AC9">
        <w:rPr>
          <w:rFonts w:ascii="Arial" w:hAnsi="Arial" w:cs="Arial"/>
          <w:sz w:val="20"/>
          <w:szCs w:val="20"/>
        </w:rPr>
        <w:t>Traitement médiatique</w:t>
      </w:r>
    </w:p>
    <w:p w:rsidR="009D4DEB" w:rsidRDefault="009D4DEB" w:rsidP="009F3BB0">
      <w:pPr>
        <w:pStyle w:val="Paragraphedeliste"/>
        <w:numPr>
          <w:ilvl w:val="2"/>
          <w:numId w:val="34"/>
        </w:numPr>
        <w:spacing w:line="276" w:lineRule="auto"/>
        <w:rPr>
          <w:rFonts w:ascii="Arial" w:hAnsi="Arial" w:cs="Arial"/>
          <w:sz w:val="20"/>
          <w:szCs w:val="20"/>
        </w:rPr>
      </w:pPr>
      <w:r>
        <w:rPr>
          <w:rFonts w:ascii="Arial" w:hAnsi="Arial" w:cs="Arial"/>
          <w:sz w:val="20"/>
          <w:szCs w:val="20"/>
        </w:rPr>
        <w:t>Lexicologie</w:t>
      </w:r>
    </w:p>
    <w:p w:rsidR="009D4DEB" w:rsidRPr="00470AC9" w:rsidRDefault="009D4DEB" w:rsidP="009F3BB0">
      <w:pPr>
        <w:pStyle w:val="Paragraphedeliste"/>
        <w:numPr>
          <w:ilvl w:val="2"/>
          <w:numId w:val="34"/>
        </w:numPr>
        <w:spacing w:line="276" w:lineRule="auto"/>
        <w:rPr>
          <w:rFonts w:ascii="Arial" w:hAnsi="Arial" w:cs="Arial"/>
          <w:sz w:val="20"/>
          <w:szCs w:val="20"/>
        </w:rPr>
      </w:pPr>
      <w:r>
        <w:rPr>
          <w:rFonts w:ascii="Arial" w:hAnsi="Arial" w:cs="Arial"/>
          <w:sz w:val="20"/>
          <w:szCs w:val="20"/>
        </w:rPr>
        <w:t>Ce que retiennent les médias</w:t>
      </w:r>
    </w:p>
    <w:p w:rsidR="009D4DEB" w:rsidRPr="00470AC9" w:rsidRDefault="009D4DEB" w:rsidP="009F3BB0">
      <w:pPr>
        <w:pStyle w:val="Paragraphedeliste"/>
        <w:numPr>
          <w:ilvl w:val="1"/>
          <w:numId w:val="34"/>
        </w:numPr>
        <w:spacing w:line="276" w:lineRule="auto"/>
        <w:rPr>
          <w:rFonts w:ascii="Arial" w:hAnsi="Arial" w:cs="Arial"/>
          <w:sz w:val="20"/>
          <w:szCs w:val="20"/>
        </w:rPr>
      </w:pPr>
      <w:r w:rsidRPr="00470AC9">
        <w:rPr>
          <w:rFonts w:ascii="Arial" w:hAnsi="Arial" w:cs="Arial"/>
          <w:sz w:val="20"/>
          <w:szCs w:val="20"/>
        </w:rPr>
        <w:t>Contexte réglementaire</w:t>
      </w:r>
    </w:p>
    <w:p w:rsidR="009D4DEB" w:rsidRPr="00470AC9" w:rsidRDefault="009D4DEB" w:rsidP="009F3BB0">
      <w:pPr>
        <w:pStyle w:val="Paragraphedeliste"/>
        <w:numPr>
          <w:ilvl w:val="2"/>
          <w:numId w:val="34"/>
        </w:numPr>
        <w:spacing w:line="276" w:lineRule="auto"/>
        <w:rPr>
          <w:rFonts w:ascii="Arial" w:hAnsi="Arial" w:cs="Arial"/>
          <w:sz w:val="20"/>
          <w:szCs w:val="20"/>
        </w:rPr>
      </w:pPr>
      <w:r w:rsidRPr="00470AC9">
        <w:rPr>
          <w:rFonts w:ascii="Arial" w:hAnsi="Arial" w:cs="Arial"/>
          <w:sz w:val="20"/>
          <w:szCs w:val="20"/>
        </w:rPr>
        <w:t>Population générale</w:t>
      </w:r>
    </w:p>
    <w:p w:rsidR="009D4DEB" w:rsidRPr="00470AC9" w:rsidRDefault="009D4DEB" w:rsidP="009F3BB0">
      <w:pPr>
        <w:pStyle w:val="Paragraphedeliste"/>
        <w:numPr>
          <w:ilvl w:val="2"/>
          <w:numId w:val="34"/>
        </w:numPr>
        <w:spacing w:line="276" w:lineRule="auto"/>
        <w:rPr>
          <w:rFonts w:ascii="Arial" w:hAnsi="Arial" w:cs="Arial"/>
          <w:sz w:val="20"/>
          <w:szCs w:val="20"/>
        </w:rPr>
      </w:pPr>
      <w:r w:rsidRPr="00470AC9">
        <w:rPr>
          <w:rFonts w:ascii="Arial" w:hAnsi="Arial" w:cs="Arial"/>
          <w:sz w:val="20"/>
          <w:szCs w:val="20"/>
        </w:rPr>
        <w:t>Salariés</w:t>
      </w:r>
    </w:p>
    <w:p w:rsidR="009D4DEB" w:rsidRPr="00470AC9" w:rsidRDefault="009D4DEB" w:rsidP="009F3BB0">
      <w:pPr>
        <w:pStyle w:val="Paragraphedeliste"/>
        <w:numPr>
          <w:ilvl w:val="1"/>
          <w:numId w:val="34"/>
        </w:numPr>
        <w:spacing w:line="276" w:lineRule="auto"/>
        <w:rPr>
          <w:rFonts w:ascii="Arial" w:hAnsi="Arial" w:cs="Arial"/>
          <w:sz w:val="20"/>
          <w:szCs w:val="20"/>
        </w:rPr>
      </w:pPr>
      <w:r w:rsidRPr="00470AC9">
        <w:rPr>
          <w:rFonts w:ascii="Arial" w:hAnsi="Arial" w:cs="Arial"/>
          <w:sz w:val="20"/>
          <w:szCs w:val="20"/>
        </w:rPr>
        <w:t>Volontarisme politique</w:t>
      </w:r>
    </w:p>
    <w:p w:rsidR="009D4DEB" w:rsidRDefault="009D4DEB" w:rsidP="009F3BB0">
      <w:pPr>
        <w:pStyle w:val="Paragraphedeliste"/>
        <w:numPr>
          <w:ilvl w:val="1"/>
          <w:numId w:val="34"/>
        </w:numPr>
        <w:spacing w:line="276" w:lineRule="auto"/>
        <w:rPr>
          <w:rFonts w:ascii="Arial" w:hAnsi="Arial" w:cs="Arial"/>
          <w:sz w:val="20"/>
          <w:szCs w:val="20"/>
        </w:rPr>
      </w:pPr>
      <w:r w:rsidRPr="00470AC9">
        <w:rPr>
          <w:rFonts w:ascii="Arial" w:hAnsi="Arial" w:cs="Arial"/>
          <w:sz w:val="20"/>
          <w:szCs w:val="20"/>
        </w:rPr>
        <w:t>« Les gens »</w:t>
      </w:r>
    </w:p>
    <w:p w:rsidR="009D4DEB" w:rsidRDefault="009D4DEB" w:rsidP="009D4DEB">
      <w:pPr>
        <w:rPr>
          <w:rFonts w:ascii="Arial" w:hAnsi="Arial" w:cs="Arial"/>
          <w:sz w:val="20"/>
          <w:szCs w:val="20"/>
        </w:rPr>
      </w:pPr>
    </w:p>
    <w:p w:rsidR="009D4DEB" w:rsidRDefault="009D4DEB" w:rsidP="009D4DEB">
      <w:pPr>
        <w:rPr>
          <w:rFonts w:ascii="Arial" w:hAnsi="Arial" w:cs="Arial"/>
          <w:b/>
          <w:sz w:val="20"/>
          <w:szCs w:val="20"/>
        </w:rPr>
      </w:pPr>
      <w:r w:rsidRPr="00992713">
        <w:rPr>
          <w:rFonts w:ascii="Arial" w:hAnsi="Arial" w:cs="Arial"/>
          <w:b/>
          <w:sz w:val="20"/>
          <w:szCs w:val="20"/>
        </w:rPr>
        <w:t>ANNEXES</w:t>
      </w:r>
    </w:p>
    <w:p w:rsidR="009D4DEB" w:rsidRPr="00992713" w:rsidRDefault="009D4DEB" w:rsidP="009D4DEB">
      <w:pPr>
        <w:rPr>
          <w:rFonts w:ascii="Arial" w:hAnsi="Arial" w:cs="Arial"/>
          <w:b/>
          <w:sz w:val="20"/>
          <w:szCs w:val="20"/>
        </w:rPr>
      </w:pPr>
    </w:p>
    <w:p w:rsidR="009D4DEB" w:rsidRDefault="009D4DEB" w:rsidP="009D4DEB">
      <w:pPr>
        <w:rPr>
          <w:rFonts w:ascii="Arial" w:hAnsi="Arial" w:cs="Arial"/>
          <w:b/>
          <w:sz w:val="20"/>
          <w:szCs w:val="20"/>
        </w:rPr>
      </w:pPr>
      <w:r w:rsidRPr="00992713">
        <w:rPr>
          <w:rFonts w:ascii="Arial" w:hAnsi="Arial" w:cs="Arial"/>
          <w:b/>
          <w:sz w:val="20"/>
          <w:szCs w:val="20"/>
        </w:rPr>
        <w:t>BIBLIOGRAPHIE</w:t>
      </w:r>
    </w:p>
    <w:p w:rsidR="009D4DEB" w:rsidRPr="00992713" w:rsidRDefault="009D4DEB" w:rsidP="009D4DEB">
      <w:pPr>
        <w:rPr>
          <w:rFonts w:ascii="Arial" w:hAnsi="Arial" w:cs="Arial"/>
          <w:b/>
          <w:sz w:val="20"/>
          <w:szCs w:val="20"/>
        </w:rPr>
      </w:pPr>
    </w:p>
    <w:p w:rsidR="009D4DEB" w:rsidRPr="00470AC9" w:rsidRDefault="009D4DEB" w:rsidP="009D4DEB">
      <w:pPr>
        <w:rPr>
          <w:rFonts w:ascii="Arial" w:hAnsi="Arial" w:cs="Arial"/>
          <w:sz w:val="20"/>
          <w:szCs w:val="20"/>
        </w:rPr>
      </w:pPr>
      <w:r w:rsidRPr="00992713">
        <w:rPr>
          <w:rFonts w:ascii="Arial" w:hAnsi="Arial" w:cs="Arial"/>
          <w:b/>
          <w:sz w:val="20"/>
          <w:szCs w:val="20"/>
        </w:rPr>
        <w:t>SOMMAIRE</w:t>
      </w:r>
    </w:p>
    <w:p w:rsidR="009D4DEB" w:rsidRPr="00470AC9" w:rsidRDefault="009D4DEB" w:rsidP="009D4DEB">
      <w:pPr>
        <w:pStyle w:val="NormalWeb"/>
        <w:spacing w:line="276" w:lineRule="auto"/>
        <w:jc w:val="both"/>
        <w:rPr>
          <w:rFonts w:ascii="Arial" w:hAnsi="Arial" w:cs="Arial"/>
          <w:sz w:val="20"/>
          <w:szCs w:val="20"/>
        </w:rPr>
      </w:pPr>
    </w:p>
    <w:p w:rsidR="009D4DEB" w:rsidRPr="00470AC9" w:rsidRDefault="009D4DEB" w:rsidP="009D4DEB">
      <w:pPr>
        <w:pStyle w:val="NormalWeb"/>
        <w:spacing w:line="276" w:lineRule="auto"/>
        <w:ind w:left="1080"/>
        <w:jc w:val="both"/>
        <w:rPr>
          <w:rFonts w:ascii="Arial" w:hAnsi="Arial" w:cs="Arial"/>
          <w:sz w:val="20"/>
          <w:szCs w:val="20"/>
        </w:rPr>
      </w:pPr>
    </w:p>
    <w:p w:rsidR="008645DF" w:rsidRPr="00367C86" w:rsidRDefault="008645DF" w:rsidP="009D4DEB">
      <w:pPr>
        <w:ind w:left="0" w:firstLine="0"/>
        <w:rPr>
          <w:rFonts w:ascii="Arial" w:hAnsi="Arial" w:cs="Arial"/>
          <w:sz w:val="20"/>
          <w:szCs w:val="20"/>
        </w:rPr>
      </w:pPr>
    </w:p>
    <w:sectPr w:rsidR="008645DF" w:rsidRPr="00367C86" w:rsidSect="00AE2FE2">
      <w:footerReference w:type="default" r:id="rId117"/>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05BF6" w:rsidRDefault="00905BF6" w:rsidP="00971340">
      <w:r>
        <w:separator/>
      </w:r>
    </w:p>
  </w:endnote>
  <w:endnote w:type="continuationSeparator" w:id="1">
    <w:p w:rsidR="00905BF6" w:rsidRDefault="00905BF6" w:rsidP="0097134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8535502"/>
      <w:docPartObj>
        <w:docPartGallery w:val="Page Numbers (Bottom of Page)"/>
        <w:docPartUnique/>
      </w:docPartObj>
    </w:sdtPr>
    <w:sdtContent>
      <w:p w:rsidR="00687EFF" w:rsidRDefault="00EE1B1E">
        <w:pPr>
          <w:pStyle w:val="Pieddepage"/>
          <w:jc w:val="right"/>
        </w:pPr>
        <w:fldSimple w:instr=" PAGE   \* MERGEFORMAT ">
          <w:r w:rsidR="00CE1A0D">
            <w:rPr>
              <w:noProof/>
            </w:rPr>
            <w:t>78</w:t>
          </w:r>
        </w:fldSimple>
      </w:p>
    </w:sdtContent>
  </w:sdt>
  <w:p w:rsidR="00687EFF" w:rsidRDefault="00687EFF">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05BF6" w:rsidRDefault="00905BF6" w:rsidP="00971340">
      <w:r>
        <w:separator/>
      </w:r>
    </w:p>
  </w:footnote>
  <w:footnote w:type="continuationSeparator" w:id="1">
    <w:p w:rsidR="00905BF6" w:rsidRDefault="00905BF6" w:rsidP="00971340">
      <w:r>
        <w:continuationSeparator/>
      </w:r>
    </w:p>
  </w:footnote>
  <w:footnote w:id="2">
    <w:p w:rsidR="00687EFF" w:rsidRPr="00B95A26" w:rsidRDefault="00687EFF" w:rsidP="00B95A26">
      <w:pPr>
        <w:pStyle w:val="Notedebasdepage"/>
        <w:ind w:left="0" w:firstLine="0"/>
        <w:rPr>
          <w:rFonts w:cstheme="minorHAnsi"/>
        </w:rPr>
      </w:pPr>
      <w:r w:rsidRPr="00B95A26">
        <w:rPr>
          <w:rStyle w:val="Appelnotedebasdep"/>
          <w:rFonts w:cstheme="minorHAnsi"/>
        </w:rPr>
        <w:footnoteRef/>
      </w:r>
      <w:r w:rsidRPr="00B95A26">
        <w:rPr>
          <w:rFonts w:cstheme="minorHAnsi"/>
        </w:rPr>
        <w:t xml:space="preserve"> ainsi débutait en 2018 un article paru dans un hebdomadaire national suite à la découverte par une équipe américaine de l’interstitium</w:t>
      </w:r>
      <w:r>
        <w:rPr>
          <w:rFonts w:cstheme="minorHAnsi"/>
        </w:rPr>
        <w:t>, « qui pourrait être considéré</w:t>
      </w:r>
      <w:r w:rsidRPr="00B95A26">
        <w:rPr>
          <w:rFonts w:cstheme="minorHAnsi"/>
        </w:rPr>
        <w:t xml:space="preserve"> comme un 80</w:t>
      </w:r>
      <w:r w:rsidRPr="00B95A26">
        <w:rPr>
          <w:rFonts w:cstheme="minorHAnsi"/>
          <w:vertAlign w:val="superscript"/>
        </w:rPr>
        <w:t>ème</w:t>
      </w:r>
      <w:r w:rsidRPr="00B95A26">
        <w:rPr>
          <w:rFonts w:cstheme="minorHAnsi"/>
        </w:rPr>
        <w:t xml:space="preserve"> organe ». cf. </w:t>
      </w:r>
      <w:hyperlink r:id="rId1" w:history="1">
        <w:r w:rsidRPr="00B95A26">
          <w:rPr>
            <w:rStyle w:val="Lienhypertexte"/>
            <w:rFonts w:cstheme="minorHAnsi"/>
          </w:rPr>
          <w:t>Un 80e organe découvert dans le corps humain ?</w:t>
        </w:r>
      </w:hyperlink>
    </w:p>
  </w:footnote>
  <w:footnote w:id="3">
    <w:p w:rsidR="00687EFF" w:rsidRDefault="00687EFF" w:rsidP="00855260">
      <w:pPr>
        <w:pStyle w:val="Notedebasdepage"/>
        <w:ind w:left="0" w:firstLine="0"/>
      </w:pPr>
      <w:r>
        <w:rPr>
          <w:rStyle w:val="Appelnotedebasdep"/>
        </w:rPr>
        <w:footnoteRef/>
      </w:r>
      <w:r>
        <w:rPr>
          <w:rStyle w:val="Appelnotedebasdep"/>
        </w:rPr>
        <w:footnoteRef/>
      </w:r>
      <w:r>
        <w:t xml:space="preserve"> François Dedieu. </w:t>
      </w:r>
      <w:r w:rsidRPr="00687EFF">
        <w:rPr>
          <w:i/>
        </w:rPr>
        <w:t>Alerte et catastrophe : le cas de la tempête de 1999, un risque scélérat</w:t>
      </w:r>
      <w:r>
        <w:t>. Sociologie du Travail, 2009</w:t>
      </w:r>
    </w:p>
  </w:footnote>
  <w:footnote w:id="4">
    <w:p w:rsidR="00687EFF" w:rsidRDefault="00687EFF">
      <w:pPr>
        <w:pStyle w:val="Notedebasdepage"/>
      </w:pPr>
      <w:r>
        <w:rPr>
          <w:rStyle w:val="Appelnotedebasdep"/>
        </w:rPr>
        <w:footnoteRef/>
      </w:r>
      <w:r>
        <w:t xml:space="preserve"> </w:t>
      </w:r>
      <w:r w:rsidRPr="00607438">
        <w:t>Mot valise désignant le bain d’ondes électromagnétiques</w:t>
      </w:r>
      <w:r>
        <w:t xml:space="preserve"> </w:t>
      </w:r>
      <w:r w:rsidRPr="00607438">
        <w:t>dans lequel évolue aujourd’hui le monde vivant.</w:t>
      </w:r>
    </w:p>
  </w:footnote>
  <w:footnote w:id="5">
    <w:p w:rsidR="00687EFF" w:rsidRDefault="00687EFF">
      <w:pPr>
        <w:pStyle w:val="Notedebasdepage"/>
      </w:pPr>
      <w:r>
        <w:rPr>
          <w:rStyle w:val="Appelnotedebasdep"/>
        </w:rPr>
        <w:footnoteRef/>
      </w:r>
      <w:r>
        <w:t xml:space="preserve"> ANSES : agence nationale de sécurité sanitaire de l’alimentation, de l’environnement et du travail</w:t>
      </w:r>
    </w:p>
  </w:footnote>
  <w:footnote w:id="6">
    <w:p w:rsidR="00687EFF" w:rsidRPr="00E33D7F" w:rsidRDefault="00687EFF" w:rsidP="00997478">
      <w:pPr>
        <w:pStyle w:val="Notedebasdepage"/>
        <w:ind w:left="0" w:firstLine="0"/>
        <w:rPr>
          <w:rFonts w:cstheme="minorHAnsi"/>
        </w:rPr>
      </w:pPr>
      <w:r w:rsidRPr="00E33D7F">
        <w:rPr>
          <w:rStyle w:val="Appelnotedebasdep"/>
          <w:rFonts w:cstheme="minorHAnsi"/>
        </w:rPr>
        <w:footnoteRef/>
      </w:r>
      <w:r w:rsidRPr="00E33D7F">
        <w:rPr>
          <w:rFonts w:cstheme="minorHAnsi"/>
        </w:rPr>
        <w:t xml:space="preserve"> Nous en reparlerons dans la partie consacrée à la science académique.</w:t>
      </w:r>
    </w:p>
  </w:footnote>
  <w:footnote w:id="7">
    <w:p w:rsidR="00687EFF" w:rsidRPr="00E33D7F" w:rsidRDefault="00687EFF" w:rsidP="00E33D7F">
      <w:pPr>
        <w:ind w:left="0" w:firstLine="0"/>
        <w:rPr>
          <w:rFonts w:cstheme="minorHAnsi"/>
          <w:sz w:val="20"/>
          <w:szCs w:val="20"/>
        </w:rPr>
      </w:pPr>
      <w:r w:rsidRPr="00E33D7F">
        <w:rPr>
          <w:rStyle w:val="Appelnotedebasdep"/>
          <w:rFonts w:cstheme="minorHAnsi"/>
          <w:sz w:val="20"/>
          <w:szCs w:val="20"/>
        </w:rPr>
        <w:footnoteRef/>
      </w:r>
      <w:r w:rsidRPr="00E33D7F">
        <w:rPr>
          <w:rFonts w:cstheme="minorHAnsi"/>
          <w:sz w:val="20"/>
          <w:szCs w:val="20"/>
        </w:rPr>
        <w:t xml:space="preserve"> Champs électromagnétiques, CEM, electromagnetic fields, EMF, Manmade electromagnetic fields, </w:t>
      </w:r>
      <w:r>
        <w:rPr>
          <w:rFonts w:cstheme="minorHAnsi"/>
          <w:sz w:val="20"/>
          <w:szCs w:val="20"/>
        </w:rPr>
        <w:t xml:space="preserve">non-ionizing radiation, NIR, </w:t>
      </w:r>
      <w:r w:rsidRPr="00E33D7F">
        <w:rPr>
          <w:rFonts w:cstheme="minorHAnsi"/>
          <w:sz w:val="20"/>
          <w:szCs w:val="20"/>
        </w:rPr>
        <w:t xml:space="preserve">radiofréquences, </w:t>
      </w:r>
      <w:r>
        <w:rPr>
          <w:rFonts w:cstheme="minorHAnsi"/>
          <w:sz w:val="20"/>
          <w:szCs w:val="20"/>
        </w:rPr>
        <w:t xml:space="preserve">RF, </w:t>
      </w:r>
      <w:r w:rsidRPr="00E33D7F">
        <w:rPr>
          <w:rFonts w:cstheme="minorHAnsi"/>
          <w:sz w:val="20"/>
          <w:szCs w:val="20"/>
          <w:shd w:val="clear" w:color="auto" w:fill="FFFFFF"/>
        </w:rPr>
        <w:t>radiofrequency radiation, RFR,</w:t>
      </w:r>
      <w:r w:rsidRPr="00E33D7F">
        <w:rPr>
          <w:rFonts w:cstheme="minorHAnsi"/>
          <w:sz w:val="20"/>
          <w:szCs w:val="20"/>
        </w:rPr>
        <w:t xml:space="preserve"> RF-EMF, EMF-RF, hyperfréquences, high frequency-electromagnetic fields, HF-EMF, WIFI, WLAN, GSM, 900 MHz, 2.4 GHz, UMTS, LTE, ondes électromagnétiques, OEM, electrosmog, Electromagnetic Radiation, EMR, micro-ondes, micro waves,</w:t>
      </w:r>
      <w:r>
        <w:rPr>
          <w:rFonts w:cstheme="minorHAnsi"/>
          <w:sz w:val="20"/>
          <w:szCs w:val="20"/>
        </w:rPr>
        <w:t xml:space="preserve"> OFDM signals (nous verrons plus loin pourquoi)</w:t>
      </w:r>
      <w:r w:rsidRPr="00E33D7F">
        <w:rPr>
          <w:rFonts w:cstheme="minorHAnsi"/>
          <w:sz w:val="20"/>
          <w:szCs w:val="20"/>
        </w:rPr>
        <w:t xml:space="preserve">…il en manque sûrement. </w:t>
      </w:r>
    </w:p>
  </w:footnote>
  <w:footnote w:id="8">
    <w:p w:rsidR="00687EFF" w:rsidRDefault="00687EFF" w:rsidP="00581C5D">
      <w:pPr>
        <w:pStyle w:val="Notedebasdepage"/>
        <w:ind w:left="0" w:firstLine="0"/>
      </w:pPr>
      <w:r>
        <w:rPr>
          <w:rStyle w:val="Appelnotedebasdep"/>
        </w:rPr>
        <w:footnoteRef/>
      </w:r>
      <w:r>
        <w:t xml:space="preserve"> « </w:t>
      </w:r>
      <w:r w:rsidRPr="00F63524">
        <w:rPr>
          <w:i/>
        </w:rPr>
        <w:t>Le spectre électromagnétique regroupe l’ensemble des ondes électromagnétiques en fonction de leur fréquence, longueur d’onde ou énergie. On le divise en plusieurs grandes catégories, qui présentent chacune leurs spécificités</w:t>
      </w:r>
      <w:r>
        <w:t> »</w:t>
      </w:r>
      <w:hyperlink r:id="rId2" w:history="1">
        <w:r>
          <w:rPr>
            <w:rStyle w:val="Lienhypertexte"/>
          </w:rPr>
          <w:t>ANFR-C'est quoi le spectre des fréquences ?</w:t>
        </w:r>
      </w:hyperlink>
    </w:p>
  </w:footnote>
  <w:footnote w:id="9">
    <w:p w:rsidR="00687EFF" w:rsidRDefault="00687EFF" w:rsidP="00466981">
      <w:pPr>
        <w:pStyle w:val="Notedebasdepage"/>
        <w:ind w:left="0" w:firstLine="0"/>
      </w:pPr>
      <w:r>
        <w:rPr>
          <w:rStyle w:val="Appelnotedebasdep"/>
        </w:rPr>
        <w:footnoteRef/>
      </w:r>
      <w:r>
        <w:t xml:space="preserve"> Ainsi, selon l’ANFR (agence nationale des fréquences), les « ondes radioélectriques ou ondes hertziennes » couvrent un spectre de 3Hz à 300 MHz (source : </w:t>
      </w:r>
      <w:hyperlink r:id="rId3" w:history="1">
        <w:r w:rsidRPr="008F5F78">
          <w:rPr>
            <w:rStyle w:val="Lienhypertexte"/>
          </w:rPr>
          <w:t>https://www.anfr.fr/anfr/cest-quoi-le-spectre-des-frequences</w:t>
        </w:r>
      </w:hyperlink>
      <w:r>
        <w:t xml:space="preserve"> ). Tandis que pour l’ANSES, « Aussi appelées radiofréquences (RF), les ondes radio ou hertziennes s’étendent, en termes de fréquence, de dix kilohertz (KHz) à trois cents gigahertz (GHz) », précisant qu’il s’agit de la « définition de l’Union internationale des télécommunications (UIT) » (source : </w:t>
      </w:r>
      <w:hyperlink r:id="rId4" w:history="1">
        <w:r w:rsidRPr="008F5F78">
          <w:rPr>
            <w:rStyle w:val="Lienhypertexte"/>
          </w:rPr>
          <w:t>https://www.anses.fr/fr/system/files/CDLR-mg-RadiofrequencesetSante20.pdf</w:t>
        </w:r>
      </w:hyperlink>
      <w:r>
        <w:t xml:space="preserve"> (Les cahiers de la recherche, Anses, 2022). A noter : 1 GHz = 1000 MHz</w:t>
      </w:r>
    </w:p>
    <w:p w:rsidR="00687EFF" w:rsidRDefault="00687EFF" w:rsidP="00765C06">
      <w:pPr>
        <w:pStyle w:val="Notedebasdepage"/>
        <w:ind w:left="0" w:firstLine="0"/>
      </w:pPr>
      <w:r>
        <w:t xml:space="preserve">Notons également que sur sa page consacrée à la présentation des principales grandes catégories de fréquences, l’ANFR n’emploie pas le terme « radiofréquences ». Elle présente par contre les micro-ondes, les situant </w:t>
      </w:r>
      <w:r>
        <w:rPr>
          <w:rFonts w:cstheme="minorHAnsi"/>
        </w:rPr>
        <w:t xml:space="preserve">sur </w:t>
      </w:r>
      <w:r w:rsidRPr="00F66A05">
        <w:rPr>
          <w:rFonts w:cstheme="minorHAnsi"/>
        </w:rPr>
        <w:t>des fréquences comprises entre 300 MHz et 300 GHz.</w:t>
      </w:r>
      <w:r>
        <w:rPr>
          <w:rFonts w:cstheme="minorHAnsi"/>
        </w:rPr>
        <w:t xml:space="preserve"> </w:t>
      </w:r>
    </w:p>
  </w:footnote>
  <w:footnote w:id="10">
    <w:p w:rsidR="00687EFF" w:rsidRDefault="00687EFF" w:rsidP="00310794">
      <w:pPr>
        <w:pStyle w:val="Notedebasdepage"/>
      </w:pPr>
      <w:r>
        <w:rPr>
          <w:rStyle w:val="Appelnotedebasdep"/>
        </w:rPr>
        <w:footnoteRef/>
      </w:r>
      <w:r>
        <w:t xml:space="preserve"> </w:t>
      </w:r>
      <w:hyperlink r:id="rId5" w:history="1">
        <w:r>
          <w:rPr>
            <w:rStyle w:val="Lienhypertexte"/>
          </w:rPr>
          <w:t>Qu’est-ce qu’un champ électromagnétique ? | RTE</w:t>
        </w:r>
      </w:hyperlink>
    </w:p>
  </w:footnote>
  <w:footnote w:id="11">
    <w:p w:rsidR="00687EFF" w:rsidRPr="00582402" w:rsidRDefault="00687EFF" w:rsidP="00582402">
      <w:pPr>
        <w:pStyle w:val="Notedebasdepage"/>
        <w:ind w:left="0" w:firstLine="0"/>
      </w:pPr>
      <w:r w:rsidRPr="00582402">
        <w:rPr>
          <w:rStyle w:val="Appelnotedebasdep"/>
        </w:rPr>
        <w:footnoteRef/>
      </w:r>
      <w:r w:rsidRPr="00582402">
        <w:t xml:space="preserve"> </w:t>
      </w:r>
      <w:r>
        <w:rPr>
          <w:rFonts w:cstheme="minorHAnsi"/>
        </w:rPr>
        <w:t>L</w:t>
      </w:r>
      <w:r w:rsidRPr="00582402">
        <w:rPr>
          <w:rFonts w:cstheme="minorHAnsi"/>
        </w:rPr>
        <w:t>e W</w:t>
      </w:r>
      <w:r>
        <w:rPr>
          <w:rFonts w:cstheme="minorHAnsi"/>
        </w:rPr>
        <w:t>ifi peut désormais utiliser la fréquence de 5</w:t>
      </w:r>
      <w:r w:rsidRPr="00582402">
        <w:rPr>
          <w:rFonts w:cstheme="minorHAnsi"/>
        </w:rPr>
        <w:t>GHz (soit 5000 MGz)</w:t>
      </w:r>
      <w:r>
        <w:rPr>
          <w:rFonts w:cstheme="minorHAnsi"/>
        </w:rPr>
        <w:t xml:space="preserve"> tandis</w:t>
      </w:r>
      <w:r w:rsidRPr="00582402">
        <w:rPr>
          <w:rFonts w:cstheme="minorHAnsi"/>
        </w:rPr>
        <w:t xml:space="preserve"> que la 5G utilise également la fréquence de 3.5GHz (soit 3500 MHz).</w:t>
      </w:r>
      <w:r>
        <w:rPr>
          <w:rFonts w:cstheme="minorHAnsi"/>
        </w:rPr>
        <w:t xml:space="preserve"> Cela montre le caractère évolutif de ce sujet sur lequel nous reviendrons plus bas.</w:t>
      </w:r>
    </w:p>
  </w:footnote>
  <w:footnote w:id="12">
    <w:p w:rsidR="00687EFF" w:rsidRPr="007D6D74" w:rsidRDefault="00687EFF" w:rsidP="008B1A3E">
      <w:pPr>
        <w:pStyle w:val="Notedebasdepage"/>
        <w:ind w:left="0" w:firstLine="0"/>
        <w:rPr>
          <w:rFonts w:cstheme="minorHAnsi"/>
        </w:rPr>
      </w:pPr>
      <w:r w:rsidRPr="007D6D74">
        <w:rPr>
          <w:rStyle w:val="Appelnotedebasdep"/>
          <w:rFonts w:cstheme="minorHAnsi"/>
        </w:rPr>
        <w:footnoteRef/>
      </w:r>
      <w:r w:rsidRPr="007D6D74">
        <w:rPr>
          <w:rFonts w:cstheme="minorHAnsi"/>
        </w:rPr>
        <w:t xml:space="preserve"> </w:t>
      </w:r>
      <w:hyperlink r:id="rId6" w:history="1">
        <w:r w:rsidRPr="007D6D74">
          <w:rPr>
            <w:rStyle w:val="Lienhypertexte"/>
            <w:rFonts w:cstheme="minorHAnsi"/>
          </w:rPr>
          <w:t>Modélisation Électromagnétique du Phénomène d'Interaction des Ondes GSM avec la Tête Humaine par la Méthode des Circuits Équivalents Généralisés (MoM-GEC) dans un milieu fermé.</w:t>
        </w:r>
      </w:hyperlink>
    </w:p>
  </w:footnote>
  <w:footnote w:id="13">
    <w:p w:rsidR="00687EFF" w:rsidRDefault="00687EFF">
      <w:pPr>
        <w:pStyle w:val="Notedebasdepage"/>
      </w:pPr>
      <w:r>
        <w:rPr>
          <w:rStyle w:val="Appelnotedebasdep"/>
        </w:rPr>
        <w:footnoteRef/>
      </w:r>
      <w:r>
        <w:t xml:space="preserve"> ELF : extrêmement basse fréquence (Extremely Low Frequency), de 3 à 30 Hz</w:t>
      </w:r>
    </w:p>
  </w:footnote>
  <w:footnote w:id="14">
    <w:p w:rsidR="00687EFF" w:rsidRPr="007D6D74" w:rsidRDefault="00687EFF" w:rsidP="00E31020">
      <w:pPr>
        <w:ind w:left="0" w:firstLine="0"/>
        <w:rPr>
          <w:rFonts w:cstheme="minorHAnsi"/>
          <w:sz w:val="20"/>
          <w:szCs w:val="20"/>
          <w:shd w:val="clear" w:color="auto" w:fill="FFFFFF"/>
        </w:rPr>
      </w:pPr>
      <w:r w:rsidRPr="007D6D74">
        <w:rPr>
          <w:rStyle w:val="Appelnotedebasdep"/>
          <w:rFonts w:cstheme="minorHAnsi"/>
          <w:sz w:val="20"/>
          <w:szCs w:val="20"/>
        </w:rPr>
        <w:footnoteRef/>
      </w:r>
      <w:r w:rsidRPr="007D6D74">
        <w:rPr>
          <w:rFonts w:cstheme="minorHAnsi"/>
          <w:sz w:val="20"/>
          <w:szCs w:val="20"/>
        </w:rPr>
        <w:t xml:space="preserve"> </w:t>
      </w:r>
      <w:r w:rsidRPr="00866C16">
        <w:rPr>
          <w:rFonts w:cstheme="minorHAnsi"/>
          <w:i/>
          <w:sz w:val="20"/>
          <w:szCs w:val="20"/>
          <w:shd w:val="clear" w:color="auto" w:fill="FFFFFF"/>
        </w:rPr>
        <w:t>« Par définition, l’exposition est le fait d’être exposé, d’être soumis à l’influence ou à l’action de quelque chose, en l’occurrence ici, à une source émettant des champs électromagnétiques, appelés également « CEM » »</w:t>
      </w:r>
      <w:r w:rsidRPr="007D6D74">
        <w:rPr>
          <w:rFonts w:cstheme="minorHAnsi"/>
          <w:sz w:val="20"/>
          <w:szCs w:val="20"/>
          <w:shd w:val="clear" w:color="auto" w:fill="FFFFFF"/>
        </w:rPr>
        <w:t xml:space="preserve"> (source : </w:t>
      </w:r>
      <w:hyperlink r:id="rId7" w:history="1">
        <w:r w:rsidRPr="007D6D74">
          <w:rPr>
            <w:rStyle w:val="Lienhypertexte"/>
            <w:rFonts w:cstheme="minorHAnsi"/>
            <w:sz w:val="20"/>
            <w:szCs w:val="20"/>
          </w:rPr>
          <w:t>L’exposition et ses caractéristiques | Ineris</w:t>
        </w:r>
      </w:hyperlink>
      <w:r w:rsidRPr="007D6D74">
        <w:rPr>
          <w:rFonts w:cstheme="minorHAnsi"/>
          <w:sz w:val="20"/>
          <w:szCs w:val="20"/>
        </w:rPr>
        <w:t xml:space="preserve"> )</w:t>
      </w:r>
    </w:p>
    <w:p w:rsidR="00687EFF" w:rsidRDefault="00687EFF">
      <w:pPr>
        <w:pStyle w:val="Notedebasdepage"/>
      </w:pPr>
    </w:p>
  </w:footnote>
  <w:footnote w:id="15">
    <w:p w:rsidR="00687EFF" w:rsidRDefault="00687EFF" w:rsidP="00B4066B">
      <w:pPr>
        <w:pStyle w:val="Notedebasdepage"/>
        <w:ind w:left="0" w:firstLine="0"/>
      </w:pPr>
      <w:r>
        <w:rPr>
          <w:rStyle w:val="Appelnotedebasdep"/>
        </w:rPr>
        <w:footnoteRef/>
      </w:r>
      <w:r>
        <w:t xml:space="preserve">  Effet thermique vs effet non-thermique. Nous reviendrons sur cette notion dans la partie consacrée à l’état de la science.</w:t>
      </w:r>
    </w:p>
  </w:footnote>
  <w:footnote w:id="16">
    <w:p w:rsidR="00687EFF" w:rsidRDefault="00687EFF" w:rsidP="001255B7">
      <w:pPr>
        <w:pStyle w:val="Notedebasdepage"/>
        <w:ind w:left="0" w:firstLine="0"/>
      </w:pPr>
      <w:r>
        <w:rPr>
          <w:rStyle w:val="Appelnotedebasdep"/>
        </w:rPr>
        <w:footnoteRef/>
      </w:r>
      <w:r>
        <w:t xml:space="preserve"> Sur le bioélectromagnétisme, voir l’étude de Malmivuo, et al. (1995). Voici la définition qui y est donnée : </w:t>
      </w:r>
      <w:r w:rsidRPr="00F63524">
        <w:rPr>
          <w:i/>
        </w:rPr>
        <w:t>« Le biolélectromagnétisme étudie les phénomènes électriques, magnétiques et électromagnétiques dans les tissus des</w:t>
      </w:r>
      <w:r>
        <w:t xml:space="preserve"> </w:t>
      </w:r>
      <w:r w:rsidRPr="00A32E12">
        <w:rPr>
          <w:i/>
        </w:rPr>
        <w:t>organismes vivants. Cette discipline est par définition interdisciplinaire »</w:t>
      </w:r>
      <w:r>
        <w:t>. Il apparait dans cet article que le premier signal bio</w:t>
      </w:r>
      <w:r w:rsidR="001B0790">
        <w:t>électro</w:t>
      </w:r>
      <w:r>
        <w:t>magnétique a été détecté sur un cœur en 1963, par Gerhard M. Baule et Richard McFee [</w:t>
      </w:r>
      <w:r w:rsidRPr="001255B7">
        <w:t>Malmivuo, Jaakko &amp; Plonsey, Robert. (1995). Bioelectromagnetism. 1. Introduction.</w:t>
      </w:r>
      <w:r>
        <w:t xml:space="preserve">] </w:t>
      </w:r>
      <w:hyperlink r:id="rId8" w:history="1">
        <w:r>
          <w:rPr>
            <w:rStyle w:val="Lienhypertexte"/>
          </w:rPr>
          <w:t>(PDF) Bioelectromagnetism. 1. Introduction</w:t>
        </w:r>
      </w:hyperlink>
    </w:p>
  </w:footnote>
  <w:footnote w:id="17">
    <w:p w:rsidR="00687EFF" w:rsidRPr="009F6B81" w:rsidRDefault="00687EFF">
      <w:pPr>
        <w:pStyle w:val="Notedebasdepage"/>
        <w:rPr>
          <w:rFonts w:cstheme="minorHAnsi"/>
        </w:rPr>
      </w:pPr>
      <w:r w:rsidRPr="009F6B81">
        <w:rPr>
          <w:rStyle w:val="Appelnotedebasdep"/>
          <w:rFonts w:cstheme="minorHAnsi"/>
        </w:rPr>
        <w:footnoteRef/>
      </w:r>
      <w:r w:rsidRPr="009F6B81">
        <w:rPr>
          <w:rFonts w:cstheme="minorHAnsi"/>
        </w:rPr>
        <w:t xml:space="preserve"> </w:t>
      </w:r>
      <w:r w:rsidRPr="009F6B81">
        <w:rPr>
          <w:rFonts w:eastAsia="Times New Roman" w:cstheme="minorHAnsi"/>
          <w:lang w:eastAsia="fr-FR"/>
        </w:rPr>
        <w:t>Plus elle est élevée, plus la pénétration diminue, mais les dépôts d’énergie en surface augmentent.</w:t>
      </w:r>
    </w:p>
  </w:footnote>
  <w:footnote w:id="18">
    <w:p w:rsidR="00687EFF" w:rsidRPr="009F6B81" w:rsidRDefault="00687EFF" w:rsidP="009F6B81">
      <w:pPr>
        <w:pStyle w:val="Notedebasdepage"/>
        <w:ind w:left="0" w:firstLine="0"/>
        <w:rPr>
          <w:rFonts w:cstheme="minorHAnsi"/>
        </w:rPr>
      </w:pPr>
      <w:r w:rsidRPr="009F6B81">
        <w:rPr>
          <w:rStyle w:val="Appelnotedebasdep"/>
          <w:rFonts w:cstheme="minorHAnsi"/>
        </w:rPr>
        <w:footnoteRef/>
      </w:r>
      <w:r w:rsidRPr="009F6B81">
        <w:rPr>
          <w:rFonts w:cstheme="minorHAnsi"/>
        </w:rPr>
        <w:t xml:space="preserve"> La puissance m</w:t>
      </w:r>
      <w:r w:rsidRPr="009F6B81">
        <w:rPr>
          <w:rFonts w:eastAsia="Times New Roman" w:cstheme="minorHAnsi"/>
          <w:lang w:eastAsia="fr-FR"/>
        </w:rPr>
        <w:t>esure le taux d’absorption d’énergie dans les tissus</w:t>
      </w:r>
      <w:r>
        <w:rPr>
          <w:rFonts w:eastAsia="Times New Roman" w:cstheme="minorHAnsi"/>
          <w:lang w:eastAsia="fr-FR"/>
        </w:rPr>
        <w:t xml:space="preserve"> (elle est indiquée par le DAS en France – débit d’absorption spécifique, exprimé en W/kg – dont l’équivalent en anglais est SAR – Specific absorption rate)</w:t>
      </w:r>
    </w:p>
  </w:footnote>
  <w:footnote w:id="19">
    <w:p w:rsidR="00687EFF" w:rsidRDefault="00687EFF">
      <w:pPr>
        <w:pStyle w:val="Notedebasdepage"/>
      </w:pPr>
      <w:r>
        <w:rPr>
          <w:rStyle w:val="Appelnotedebasdep"/>
        </w:rPr>
        <w:footnoteRef/>
      </w:r>
      <w:r>
        <w:t xml:space="preserve"> </w:t>
      </w:r>
      <w:r w:rsidRPr="00A5617D">
        <w:rPr>
          <w:rStyle w:val="lev"/>
          <w:b w:val="0"/>
        </w:rPr>
        <w:t>OFDM : Orthogonal Frequency Division Multiplexing)</w:t>
      </w:r>
      <w:r w:rsidRPr="00A5617D">
        <w:rPr>
          <w:b/>
        </w:rPr>
        <w:t xml:space="preserve"> et </w:t>
      </w:r>
      <w:r w:rsidRPr="00A5617D">
        <w:rPr>
          <w:rStyle w:val="lev"/>
          <w:b w:val="0"/>
        </w:rPr>
        <w:t>OFDMA (Orthogonal Frequency Division Multiple Access)</w:t>
      </w:r>
    </w:p>
  </w:footnote>
  <w:footnote w:id="20">
    <w:p w:rsidR="00687EFF" w:rsidRDefault="00687EFF" w:rsidP="00A05860">
      <w:pPr>
        <w:pStyle w:val="Notedebasdepage"/>
        <w:ind w:left="0" w:firstLine="0"/>
      </w:pPr>
      <w:r>
        <w:rPr>
          <w:rStyle w:val="Appelnotedebasdep"/>
        </w:rPr>
        <w:footnoteRef/>
      </w:r>
      <w:r>
        <w:t xml:space="preserve"> </w:t>
      </w:r>
      <w:r w:rsidRPr="00311690">
        <w:rPr>
          <w:rFonts w:cstheme="minorHAnsi"/>
        </w:rPr>
        <w:t>Le PAPR (</w:t>
      </w:r>
      <w:r w:rsidRPr="00311690">
        <w:rPr>
          <w:rFonts w:eastAsia="Times New Roman" w:cstheme="minorHAnsi"/>
          <w:bCs/>
          <w:lang w:eastAsia="fr-FR"/>
        </w:rPr>
        <w:t xml:space="preserve">Peak-to-Average Power Ratio) </w:t>
      </w:r>
      <w:r w:rsidRPr="00311690">
        <w:rPr>
          <w:rFonts w:eastAsia="Times New Roman" w:cstheme="minorHAnsi"/>
          <w:lang w:eastAsia="fr-FR"/>
        </w:rPr>
        <w:t>est le rapport entre la puissance de crête maximale d'un signal et sa puissance moyenne</w:t>
      </w:r>
      <w:r>
        <w:rPr>
          <w:rFonts w:eastAsia="Times New Roman" w:cstheme="minorHAnsi"/>
          <w:lang w:eastAsia="fr-FR"/>
        </w:rPr>
        <w:t>.</w:t>
      </w:r>
    </w:p>
  </w:footnote>
  <w:footnote w:id="21">
    <w:p w:rsidR="00687EFF" w:rsidRDefault="00687EFF" w:rsidP="00C04392">
      <w:pPr>
        <w:pStyle w:val="Notedebasdepage"/>
        <w:ind w:left="0" w:firstLine="0"/>
      </w:pPr>
      <w:r>
        <w:rPr>
          <w:rStyle w:val="Appelnotedebasdep"/>
        </w:rPr>
        <w:footnoteRef/>
      </w:r>
      <w:r>
        <w:t xml:space="preserve"> Merci à Pierre Duprez, citoyen-expert</w:t>
      </w:r>
    </w:p>
  </w:footnote>
  <w:footnote w:id="22">
    <w:p w:rsidR="00687EFF" w:rsidRDefault="00687EFF" w:rsidP="0095331A">
      <w:pPr>
        <w:pStyle w:val="Notedebasdepage"/>
        <w:ind w:left="0" w:firstLine="0"/>
      </w:pPr>
      <w:r>
        <w:rPr>
          <w:rStyle w:val="Appelnotedebasdep"/>
        </w:rPr>
        <w:footnoteRef/>
      </w:r>
      <w:r>
        <w:t xml:space="preserve"> A moins qu’il faille opter pour un point de vue différent : ce serait la dose d’effet pulsé qu’il faudrait alors prendre en compte (onde non pulsée, faiblement, fortement pulsée). Que signifie concrètement l’effet pulsé sur le plan des sciences physiques ? Il s'agit d'une 'brutalité' des variations de champ, calculable mathématiquement non pas en fonction de l’intensité maximale, mais à partir de la pente de la courbe – autrement dit, de la dérivée temporelle du champ. </w:t>
      </w:r>
    </w:p>
  </w:footnote>
  <w:footnote w:id="23">
    <w:p w:rsidR="00687EFF" w:rsidRDefault="00687EFF">
      <w:pPr>
        <w:pStyle w:val="Notedebasdepage"/>
      </w:pPr>
      <w:r>
        <w:rPr>
          <w:rStyle w:val="Appelnotedebasdep"/>
        </w:rPr>
        <w:footnoteRef/>
      </w:r>
      <w:r>
        <w:t xml:space="preserve"> Terme à inventer ?</w:t>
      </w:r>
    </w:p>
  </w:footnote>
  <w:footnote w:id="24">
    <w:p w:rsidR="00687EFF" w:rsidRDefault="00687EFF" w:rsidP="00C04392">
      <w:pPr>
        <w:pStyle w:val="Notedebasdepage"/>
        <w:ind w:left="0" w:firstLine="0"/>
      </w:pPr>
      <w:r>
        <w:rPr>
          <w:rStyle w:val="Appelnotedebasdep"/>
        </w:rPr>
        <w:footnoteRef/>
      </w:r>
      <w:r>
        <w:t xml:space="preserve"> Phénomène : « </w:t>
      </w:r>
      <w:r w:rsidRPr="00C04392">
        <w:rPr>
          <w:i/>
        </w:rPr>
        <w:t>1. Fait observable, événement.2. Fait, événement qui frappe par sa nouveauté ou son caractère exceptionnel (…)</w:t>
      </w:r>
      <w:r>
        <w:t> » Petit Larousse illustré</w:t>
      </w:r>
    </w:p>
  </w:footnote>
  <w:footnote w:id="25">
    <w:p w:rsidR="00687EFF" w:rsidRDefault="00687EFF" w:rsidP="007C6E62">
      <w:pPr>
        <w:pStyle w:val="Notedebasdepage"/>
        <w:ind w:left="0" w:firstLine="0"/>
      </w:pPr>
      <w:r>
        <w:rPr>
          <w:rStyle w:val="Appelnotedebasdep"/>
        </w:rPr>
        <w:footnoteRef/>
      </w:r>
      <w:r>
        <w:t xml:space="preserve"> Les champs électromagnétiques (CEM) sont des combinaisons de champs électriques et magnétiques produits par le mouvement de charges électriques. Selon leur fréquence, ils peuvent interagir différemment avec la matière.</w:t>
      </w:r>
    </w:p>
  </w:footnote>
  <w:footnote w:id="26">
    <w:p w:rsidR="00687EFF" w:rsidRDefault="00687EFF">
      <w:pPr>
        <w:pStyle w:val="Notedebasdepage"/>
      </w:pPr>
      <w:r>
        <w:rPr>
          <w:rStyle w:val="Appelnotedebasdep"/>
        </w:rPr>
        <w:footnoteRef/>
      </w:r>
      <w:r>
        <w:t xml:space="preserve"> Voir notamment à ce sujet Georgiou et al. (2022)</w:t>
      </w:r>
    </w:p>
  </w:footnote>
  <w:footnote w:id="27">
    <w:p w:rsidR="00687EFF" w:rsidRDefault="00687EFF" w:rsidP="001C0A48">
      <w:pPr>
        <w:pStyle w:val="Notedebasdepage"/>
        <w:ind w:left="0" w:firstLine="0"/>
      </w:pPr>
      <w:r>
        <w:rPr>
          <w:rStyle w:val="Appelnotedebasdep"/>
        </w:rPr>
        <w:footnoteRef/>
      </w:r>
      <w:r>
        <w:t xml:space="preserve"> </w:t>
      </w:r>
      <w:hyperlink r:id="rId9" w:history="1">
        <w:r>
          <w:rPr>
            <w:rStyle w:val="Lienhypertexte"/>
          </w:rPr>
          <w:t>Vidéos Bing</w:t>
        </w:r>
      </w:hyperlink>
      <w:r>
        <w:t> : présentation du Dr. Leif Salford</w:t>
      </w:r>
    </w:p>
  </w:footnote>
  <w:footnote w:id="28">
    <w:p w:rsidR="00687EFF" w:rsidRDefault="00687EFF" w:rsidP="00477214">
      <w:pPr>
        <w:pStyle w:val="Notedebasdepage"/>
        <w:ind w:left="0" w:firstLine="0"/>
      </w:pPr>
      <w:r>
        <w:rPr>
          <w:rStyle w:val="Appelnotedebasdep"/>
        </w:rPr>
        <w:footnoteRef/>
      </w:r>
      <w:hyperlink r:id="rId10" w:history="1">
        <w:r w:rsidRPr="00755E61">
          <w:rPr>
            <w:rStyle w:val="Lienhypertexte"/>
          </w:rPr>
          <w:t>https://www.mobilophiles.com/2016/01/l-histoire-du-telephone-portable-rappelez-vous-retour-sur-plus-d-un-siecle-d-evolution.html</w:t>
        </w:r>
      </w:hyperlink>
    </w:p>
  </w:footnote>
  <w:footnote w:id="29">
    <w:p w:rsidR="00687EFF" w:rsidRDefault="00687EFF" w:rsidP="001C0A48">
      <w:pPr>
        <w:pStyle w:val="Notedebasdepage"/>
        <w:ind w:left="0" w:firstLine="0"/>
      </w:pPr>
      <w:r>
        <w:rPr>
          <w:rStyle w:val="Appelnotedebasdep"/>
        </w:rPr>
        <w:footnoteRef/>
      </w:r>
      <w:r>
        <w:t xml:space="preserve"> </w:t>
      </w:r>
      <w:hyperlink r:id="rId11" w:history="1">
        <w:r>
          <w:rPr>
            <w:rStyle w:val="Lienhypertexte"/>
          </w:rPr>
          <w:t>1956 - Mobile telephony awakens - Ericsson</w:t>
        </w:r>
      </w:hyperlink>
    </w:p>
  </w:footnote>
  <w:footnote w:id="30">
    <w:p w:rsidR="00687EFF" w:rsidRDefault="00687EFF">
      <w:pPr>
        <w:pStyle w:val="Notedebasdepage"/>
      </w:pPr>
      <w:r>
        <w:rPr>
          <w:rStyle w:val="Appelnotedebasdep"/>
        </w:rPr>
        <w:footnoteRef/>
      </w:r>
      <w:r>
        <w:t xml:space="preserve"> </w:t>
      </w:r>
      <w:hyperlink r:id="rId12" w:history="1">
        <w:r>
          <w:rPr>
            <w:rStyle w:val="Lienhypertexte"/>
          </w:rPr>
          <w:t>L’exposition et ses caractéristiques | Ineris</w:t>
        </w:r>
      </w:hyperlink>
    </w:p>
  </w:footnote>
  <w:footnote w:id="31">
    <w:p w:rsidR="00687EFF" w:rsidRDefault="00687EFF" w:rsidP="00AF15E3">
      <w:pPr>
        <w:pStyle w:val="Notedebasdepage"/>
        <w:ind w:left="0" w:firstLine="0"/>
      </w:pPr>
      <w:r>
        <w:rPr>
          <w:rStyle w:val="Appelnotedebasdep"/>
        </w:rPr>
        <w:footnoteRef/>
      </w:r>
      <w:r>
        <w:t xml:space="preserve"> </w:t>
      </w:r>
      <w:hyperlink r:id="rId13" w:history="1">
        <w:r>
          <w:rPr>
            <w:rStyle w:val="Lienhypertexte"/>
          </w:rPr>
          <w:t>1956 - Mobile telephony awakens - Ericsson</w:t>
        </w:r>
      </w:hyperlink>
    </w:p>
  </w:footnote>
  <w:footnote w:id="32">
    <w:p w:rsidR="00687EFF" w:rsidRDefault="00687EFF" w:rsidP="001C0A48">
      <w:pPr>
        <w:pStyle w:val="Notedebasdepage"/>
      </w:pPr>
      <w:r>
        <w:rPr>
          <w:rStyle w:val="Appelnotedebasdep"/>
        </w:rPr>
        <w:footnoteRef/>
      </w:r>
      <w:r>
        <w:t xml:space="preserve"> </w:t>
      </w:r>
      <w:hyperlink r:id="rId14" w:history="1">
        <w:r>
          <w:rPr>
            <w:rStyle w:val="Lienhypertexte"/>
          </w:rPr>
          <w:t>Four à micro-ondes — Wikipédia</w:t>
        </w:r>
      </w:hyperlink>
    </w:p>
  </w:footnote>
  <w:footnote w:id="33">
    <w:p w:rsidR="00687EFF" w:rsidRDefault="00687EFF">
      <w:pPr>
        <w:pStyle w:val="Notedebasdepage"/>
      </w:pPr>
      <w:r>
        <w:rPr>
          <w:rStyle w:val="Appelnotedebasdep"/>
        </w:rPr>
        <w:footnoteRef/>
      </w:r>
      <w:r>
        <w:t xml:space="preserve"> 1G : 1</w:t>
      </w:r>
      <w:r w:rsidRPr="008E22C1">
        <w:rPr>
          <w:vertAlign w:val="superscript"/>
        </w:rPr>
        <w:t>ère</w:t>
      </w:r>
      <w:r>
        <w:t xml:space="preserve"> génération, 2G : 2</w:t>
      </w:r>
      <w:r w:rsidRPr="008E22C1">
        <w:rPr>
          <w:vertAlign w:val="superscript"/>
        </w:rPr>
        <w:t>ème</w:t>
      </w:r>
      <w:r>
        <w:t xml:space="preserve"> génération, etc.</w:t>
      </w:r>
    </w:p>
  </w:footnote>
  <w:footnote w:id="34">
    <w:p w:rsidR="00687EFF" w:rsidRDefault="00687EFF">
      <w:pPr>
        <w:pStyle w:val="Notedebasdepage"/>
      </w:pPr>
      <w:r>
        <w:rPr>
          <w:rStyle w:val="Appelnotedebasdep"/>
        </w:rPr>
        <w:footnoteRef/>
      </w:r>
      <w:r>
        <w:t xml:space="preserve"> </w:t>
      </w:r>
      <w:hyperlink r:id="rId15" w:history="1">
        <w:r>
          <w:rPr>
            <w:rStyle w:val="Lienhypertexte"/>
          </w:rPr>
          <w:t>Les grandes dates de la 4G | Arcep</w:t>
        </w:r>
      </w:hyperlink>
    </w:p>
  </w:footnote>
  <w:footnote w:id="35">
    <w:p w:rsidR="00687EFF" w:rsidRDefault="00687EFF" w:rsidP="00066394">
      <w:pPr>
        <w:pStyle w:val="Notedebasdepage"/>
        <w:ind w:left="0" w:firstLine="0"/>
      </w:pPr>
      <w:r>
        <w:rPr>
          <w:rStyle w:val="Appelnotedebasdep"/>
        </w:rPr>
        <w:footnoteRef/>
      </w:r>
      <w:r>
        <w:t xml:space="preserve"> </w:t>
      </w:r>
      <w:hyperlink r:id="rId16" w:history="1">
        <w:r>
          <w:rPr>
            <w:rStyle w:val="Lienhypertexte"/>
          </w:rPr>
          <w:t>Référentiel Wi-Fi | éduscol | Ministère de l'Éducation Nationale, de l'Enseignement supérieur et de la Recherche | Dgesco</w:t>
        </w:r>
      </w:hyperlink>
    </w:p>
  </w:footnote>
  <w:footnote w:id="36">
    <w:p w:rsidR="00687EFF" w:rsidRDefault="00687EFF" w:rsidP="00FD5DED">
      <w:pPr>
        <w:pStyle w:val="Notedebasdepage"/>
        <w:ind w:left="0" w:firstLine="0"/>
      </w:pPr>
      <w:r>
        <w:rPr>
          <w:rStyle w:val="Appelnotedebasdep"/>
        </w:rPr>
        <w:footnoteRef/>
      </w:r>
      <w:r>
        <w:t xml:space="preserve"> </w:t>
      </w:r>
      <w:hyperlink r:id="rId17" w:history="1">
        <w:r>
          <w:rPr>
            <w:rStyle w:val="Lienhypertexte"/>
          </w:rPr>
          <w:t>Vidéos Bing</w:t>
        </w:r>
      </w:hyperlink>
      <w:r>
        <w:t xml:space="preserve"> à 2’10 de la présentation du Dr. Leif Salford</w:t>
      </w:r>
    </w:p>
  </w:footnote>
  <w:footnote w:id="37">
    <w:p w:rsidR="00687EFF" w:rsidRPr="009E2DE8" w:rsidRDefault="00687EFF" w:rsidP="003C13F1">
      <w:pPr>
        <w:pStyle w:val="Notedebasdepage"/>
        <w:rPr>
          <w:rFonts w:cstheme="minorHAnsi"/>
        </w:rPr>
      </w:pPr>
      <w:r w:rsidRPr="009E2DE8">
        <w:rPr>
          <w:rStyle w:val="Appelnotedebasdep"/>
          <w:rFonts w:cstheme="minorHAnsi"/>
        </w:rPr>
        <w:footnoteRef/>
      </w:r>
      <w:r w:rsidRPr="009E2DE8">
        <w:rPr>
          <w:rFonts w:cstheme="minorHAnsi"/>
        </w:rPr>
        <w:t xml:space="preserve"> </w:t>
      </w:r>
      <w:hyperlink r:id="rId18" w:history="1">
        <w:r w:rsidRPr="009E2DE8">
          <w:rPr>
            <w:rStyle w:val="Lienhypertexte"/>
            <w:rFonts w:cstheme="minorHAnsi"/>
          </w:rPr>
          <w:t>Baromètre du numérique - édition 2025 - Le RAPPORT</w:t>
        </w:r>
      </w:hyperlink>
    </w:p>
  </w:footnote>
  <w:footnote w:id="38">
    <w:p w:rsidR="00687EFF" w:rsidRPr="009E2DE8" w:rsidRDefault="00687EFF" w:rsidP="003C13F1">
      <w:pPr>
        <w:pStyle w:val="Notedebasdepage"/>
        <w:rPr>
          <w:rFonts w:cstheme="minorHAnsi"/>
        </w:rPr>
      </w:pPr>
      <w:r w:rsidRPr="009E2DE8">
        <w:rPr>
          <w:rStyle w:val="Appelnotedebasdep"/>
          <w:rFonts w:cstheme="minorHAnsi"/>
        </w:rPr>
        <w:footnoteRef/>
      </w:r>
      <w:r w:rsidRPr="009E2DE8">
        <w:rPr>
          <w:rFonts w:cstheme="minorHAnsi"/>
        </w:rPr>
        <w:t xml:space="preserve"> Autorité de régulation des communications électroniques, des postes et de la distribution de la presse</w:t>
      </w:r>
    </w:p>
  </w:footnote>
  <w:footnote w:id="39">
    <w:p w:rsidR="00687EFF" w:rsidRPr="009E2DE8" w:rsidRDefault="00687EFF" w:rsidP="00017026">
      <w:pPr>
        <w:pStyle w:val="Notedebasdepage"/>
        <w:ind w:left="0" w:firstLine="0"/>
        <w:rPr>
          <w:rFonts w:cstheme="minorHAnsi"/>
        </w:rPr>
      </w:pPr>
      <w:r w:rsidRPr="009E2DE8">
        <w:rPr>
          <w:rStyle w:val="Appelnotedebasdep"/>
          <w:rFonts w:cstheme="minorHAnsi"/>
        </w:rPr>
        <w:footnoteRef/>
      </w:r>
      <w:r w:rsidRPr="009E2DE8">
        <w:rPr>
          <w:rFonts w:cstheme="minorHAnsi"/>
        </w:rPr>
        <w:t xml:space="preserve"> </w:t>
      </w:r>
      <w:hyperlink r:id="rId19" w:history="1">
        <w:r w:rsidRPr="009E2DE8">
          <w:rPr>
            <w:rStyle w:val="Lienhypertexte"/>
            <w:rFonts w:cstheme="minorHAnsi"/>
          </w:rPr>
          <w:t>Parents, Enfants &amp; Numérique 2024 - Rapport de l'étude | OPEN Asso | Observatoire de la Parentalité et de l'Éducation Numérique</w:t>
        </w:r>
      </w:hyperlink>
    </w:p>
  </w:footnote>
  <w:footnote w:id="40">
    <w:p w:rsidR="00687EFF" w:rsidRPr="009E2DE8" w:rsidRDefault="00687EFF">
      <w:pPr>
        <w:pStyle w:val="Notedebasdepage"/>
        <w:rPr>
          <w:rFonts w:cstheme="minorHAnsi"/>
        </w:rPr>
      </w:pPr>
      <w:r w:rsidRPr="009E2DE8">
        <w:rPr>
          <w:rStyle w:val="Appelnotedebasdep"/>
          <w:rFonts w:cstheme="minorHAnsi"/>
        </w:rPr>
        <w:footnoteRef/>
      </w:r>
      <w:r w:rsidRPr="009E2DE8">
        <w:rPr>
          <w:rFonts w:cstheme="minorHAnsi"/>
        </w:rPr>
        <w:t xml:space="preserve"> 17032 au 1</w:t>
      </w:r>
      <w:r w:rsidRPr="009E2DE8">
        <w:rPr>
          <w:rFonts w:cstheme="minorHAnsi"/>
          <w:vertAlign w:val="superscript"/>
        </w:rPr>
        <w:t>er</w:t>
      </w:r>
      <w:r w:rsidRPr="009E2DE8">
        <w:rPr>
          <w:rFonts w:cstheme="minorHAnsi"/>
        </w:rPr>
        <w:t xml:space="preserve"> mai 2015, 65159 au 1</w:t>
      </w:r>
      <w:r w:rsidRPr="009E2DE8">
        <w:rPr>
          <w:rFonts w:cstheme="minorHAnsi"/>
          <w:vertAlign w:val="superscript"/>
        </w:rPr>
        <w:t>er</w:t>
      </w:r>
      <w:r w:rsidRPr="009E2DE8">
        <w:rPr>
          <w:rFonts w:cstheme="minorHAnsi"/>
        </w:rPr>
        <w:t xml:space="preserve"> mai 2025 (source : ANFR, data.anfr.fr)</w:t>
      </w:r>
    </w:p>
  </w:footnote>
  <w:footnote w:id="41">
    <w:p w:rsidR="00687EFF" w:rsidRPr="009E2DE8" w:rsidRDefault="00687EFF">
      <w:pPr>
        <w:pStyle w:val="Notedebasdepage"/>
        <w:rPr>
          <w:rFonts w:cstheme="minorHAnsi"/>
        </w:rPr>
      </w:pPr>
      <w:r w:rsidRPr="009E2DE8">
        <w:rPr>
          <w:rStyle w:val="Appelnotedebasdep"/>
          <w:rFonts w:cstheme="minorHAnsi"/>
        </w:rPr>
        <w:footnoteRef/>
      </w:r>
      <w:r w:rsidRPr="009E2DE8">
        <w:rPr>
          <w:rFonts w:cstheme="minorHAnsi"/>
        </w:rPr>
        <w:t xml:space="preserve"> </w:t>
      </w:r>
      <w:hyperlink r:id="rId20" w:history="1">
        <w:r w:rsidRPr="009E2DE8">
          <w:rPr>
            <w:rStyle w:val="Lienhypertexte"/>
            <w:rFonts w:cstheme="minorHAnsi"/>
          </w:rPr>
          <w:t>ANFR-Observatoire mensuel</w:t>
        </w:r>
      </w:hyperlink>
    </w:p>
  </w:footnote>
  <w:footnote w:id="42">
    <w:p w:rsidR="00687EFF" w:rsidRPr="009E2DE8" w:rsidRDefault="00687EFF" w:rsidP="009E2DE8">
      <w:pPr>
        <w:ind w:left="0" w:firstLine="0"/>
        <w:rPr>
          <w:rFonts w:cstheme="minorHAnsi"/>
          <w:sz w:val="20"/>
          <w:szCs w:val="20"/>
        </w:rPr>
      </w:pPr>
      <w:r w:rsidRPr="009E2DE8">
        <w:rPr>
          <w:rStyle w:val="Appelnotedebasdep"/>
          <w:rFonts w:cstheme="minorHAnsi"/>
          <w:sz w:val="20"/>
          <w:szCs w:val="20"/>
        </w:rPr>
        <w:footnoteRef/>
      </w:r>
      <w:r w:rsidRPr="009E2DE8">
        <w:rPr>
          <w:rFonts w:cstheme="minorHAnsi"/>
          <w:sz w:val="20"/>
          <w:szCs w:val="20"/>
        </w:rPr>
        <w:t xml:space="preserve"> </w:t>
      </w:r>
      <w:r w:rsidRPr="009E2DE8">
        <w:rPr>
          <w:rStyle w:val="relative"/>
          <w:rFonts w:cstheme="minorHAnsi"/>
          <w:sz w:val="20"/>
          <w:szCs w:val="20"/>
        </w:rPr>
        <w:t>(nb de sites autorisés – nb de sites en service) / nb de sites en service</w:t>
      </w:r>
    </w:p>
  </w:footnote>
  <w:footnote w:id="43">
    <w:p w:rsidR="00687EFF" w:rsidRPr="009E2DE8" w:rsidRDefault="00687EFF" w:rsidP="00DE4604">
      <w:pPr>
        <w:pStyle w:val="Notedebasdepage"/>
        <w:ind w:left="0" w:firstLine="0"/>
        <w:rPr>
          <w:rFonts w:cstheme="minorHAnsi"/>
        </w:rPr>
      </w:pPr>
      <w:r w:rsidRPr="009E2DE8">
        <w:rPr>
          <w:rStyle w:val="Appelnotedebasdep"/>
          <w:rFonts w:cstheme="minorHAnsi"/>
        </w:rPr>
        <w:footnoteRef/>
      </w:r>
      <w:r w:rsidRPr="009E2DE8">
        <w:rPr>
          <w:rFonts w:cstheme="minorHAnsi"/>
        </w:rPr>
        <w:t xml:space="preserve"> Loi n° 2015-136 du 9 février 2015 relative à la sobriété, à la transparence, à l'information et à la concertation en matière d'exposition aux ondes électromagnétiques</w:t>
      </w:r>
    </w:p>
  </w:footnote>
  <w:footnote w:id="44">
    <w:p w:rsidR="00687EFF" w:rsidRPr="00131D78" w:rsidRDefault="00687EFF" w:rsidP="00DE4604">
      <w:pPr>
        <w:pStyle w:val="Notedebasdepage"/>
        <w:ind w:left="0" w:firstLine="0"/>
        <w:rPr>
          <w:rFonts w:cstheme="minorHAnsi"/>
        </w:rPr>
      </w:pPr>
      <w:r w:rsidRPr="00131D78">
        <w:rPr>
          <w:rStyle w:val="Appelnotedebasdep"/>
          <w:rFonts w:cstheme="minorHAnsi"/>
        </w:rPr>
        <w:footnoteRef/>
      </w:r>
      <w:r w:rsidRPr="00131D78">
        <w:rPr>
          <w:rFonts w:cstheme="minorHAnsi"/>
        </w:rPr>
        <w:t xml:space="preserve"> L’adverbe « substantiellement » avait âprement été discuté, remplaçant l’adverbe « sensiblement », sans qu’une valeur établie n’y ait été attachée.</w:t>
      </w:r>
    </w:p>
  </w:footnote>
  <w:footnote w:id="45">
    <w:p w:rsidR="00687EFF" w:rsidRPr="00131D78" w:rsidRDefault="00687EFF" w:rsidP="006A7B91">
      <w:pPr>
        <w:pStyle w:val="Notedebasdepage"/>
        <w:ind w:left="0" w:firstLine="0"/>
        <w:rPr>
          <w:rFonts w:cstheme="minorHAnsi"/>
        </w:rPr>
      </w:pPr>
      <w:r w:rsidRPr="00131D78">
        <w:rPr>
          <w:rStyle w:val="Appelnotedebasdep"/>
          <w:rFonts w:cstheme="minorHAnsi"/>
        </w:rPr>
        <w:footnoteRef/>
      </w:r>
      <w:r w:rsidRPr="00131D78">
        <w:rPr>
          <w:rFonts w:cstheme="minorHAnsi"/>
        </w:rPr>
        <w:t xml:space="preserve"> </w:t>
      </w:r>
      <w:r w:rsidRPr="00131D78">
        <w:rPr>
          <w:rStyle w:val="relative"/>
          <w:rFonts w:cstheme="minorHAnsi"/>
        </w:rPr>
        <w:t>Nous nous pencherons dans la troisième partie sur l’organisation mise en place pour le suivi et la gestion de l’exposition électromagnétique en France</w:t>
      </w:r>
    </w:p>
  </w:footnote>
  <w:footnote w:id="46">
    <w:p w:rsidR="00687EFF" w:rsidRPr="00131D78" w:rsidRDefault="00687EFF">
      <w:pPr>
        <w:pStyle w:val="Notedebasdepage"/>
        <w:rPr>
          <w:rFonts w:cstheme="minorHAnsi"/>
        </w:rPr>
      </w:pPr>
      <w:r w:rsidRPr="00131D78">
        <w:rPr>
          <w:rStyle w:val="Appelnotedebasdep"/>
          <w:rFonts w:cstheme="minorHAnsi"/>
        </w:rPr>
        <w:footnoteRef/>
      </w:r>
      <w:r w:rsidRPr="00131D78">
        <w:rPr>
          <w:rFonts w:cstheme="minorHAnsi"/>
        </w:rPr>
        <w:t xml:space="preserve"> La question des seuils réglementaires sera abordée dans la troisième partie de ce mémoire.</w:t>
      </w:r>
    </w:p>
  </w:footnote>
  <w:footnote w:id="47">
    <w:p w:rsidR="00687EFF" w:rsidRPr="00131D78" w:rsidRDefault="00687EFF">
      <w:pPr>
        <w:pStyle w:val="Notedebasdepage"/>
        <w:rPr>
          <w:rFonts w:cstheme="minorHAnsi"/>
        </w:rPr>
      </w:pPr>
      <w:r w:rsidRPr="00131D78">
        <w:rPr>
          <w:rStyle w:val="Appelnotedebasdep"/>
          <w:rFonts w:cstheme="minorHAnsi"/>
        </w:rPr>
        <w:footnoteRef/>
      </w:r>
      <w:r w:rsidRPr="00131D78">
        <w:rPr>
          <w:rFonts w:cstheme="minorHAnsi"/>
        </w:rPr>
        <w:t xml:space="preserve"> www.cartoradio.fr</w:t>
      </w:r>
    </w:p>
  </w:footnote>
  <w:footnote w:id="48">
    <w:p w:rsidR="00687EFF" w:rsidRPr="00131D78" w:rsidRDefault="00687EFF" w:rsidP="006C0F8E">
      <w:pPr>
        <w:pStyle w:val="Notedebasdepage"/>
        <w:ind w:left="0" w:firstLine="0"/>
        <w:rPr>
          <w:rFonts w:cstheme="minorHAnsi"/>
        </w:rPr>
      </w:pPr>
      <w:r w:rsidRPr="00131D78">
        <w:rPr>
          <w:rStyle w:val="Appelnotedebasdep"/>
          <w:rFonts w:cstheme="minorHAnsi"/>
        </w:rPr>
        <w:footnoteRef/>
      </w:r>
      <w:r w:rsidRPr="00131D78">
        <w:rPr>
          <w:rFonts w:cstheme="minorHAnsi"/>
        </w:rPr>
        <w:t xml:space="preserve"> </w:t>
      </w:r>
      <w:hyperlink r:id="rId21" w:history="1">
        <w:r w:rsidRPr="00131D78">
          <w:rPr>
            <w:rStyle w:val="Lienhypertexte"/>
            <w:rFonts w:cstheme="minorHAnsi"/>
          </w:rPr>
          <w:t>Le plan numérique des collèges 2022- 2029 : modernisation des infrastructures et des équipements - Loire-Atlantique</w:t>
        </w:r>
      </w:hyperlink>
    </w:p>
  </w:footnote>
  <w:footnote w:id="49">
    <w:p w:rsidR="00687EFF" w:rsidRPr="00131D78" w:rsidRDefault="00687EFF" w:rsidP="006C0F8E">
      <w:pPr>
        <w:pStyle w:val="Notedebasdepage"/>
        <w:rPr>
          <w:rFonts w:cstheme="minorHAnsi"/>
        </w:rPr>
      </w:pPr>
      <w:r w:rsidRPr="00131D78">
        <w:rPr>
          <w:rStyle w:val="Appelnotedebasdep"/>
          <w:rFonts w:cstheme="minorHAnsi"/>
        </w:rPr>
        <w:footnoteRef/>
      </w:r>
      <w:r w:rsidRPr="00131D78">
        <w:rPr>
          <w:rFonts w:cstheme="minorHAnsi"/>
        </w:rPr>
        <w:t xml:space="preserve"> </w:t>
      </w:r>
      <w:hyperlink r:id="rId22" w:history="1">
        <w:r w:rsidRPr="00131D78">
          <w:rPr>
            <w:rStyle w:val="Lienhypertexte"/>
            <w:rFonts w:cstheme="minorHAnsi"/>
          </w:rPr>
          <w:t>Des collèges connectés, des apprentissages facilités - Moselle.fr</w:t>
        </w:r>
      </w:hyperlink>
    </w:p>
  </w:footnote>
  <w:footnote w:id="50">
    <w:p w:rsidR="00687EFF" w:rsidRDefault="00687EFF" w:rsidP="006C0F8E">
      <w:pPr>
        <w:pStyle w:val="Notedebasdepage"/>
        <w:ind w:left="0" w:firstLine="0"/>
      </w:pPr>
      <w:r w:rsidRPr="00131D78">
        <w:rPr>
          <w:rStyle w:val="Appelnotedebasdep"/>
          <w:rFonts w:cstheme="minorHAnsi"/>
        </w:rPr>
        <w:footnoteRef/>
      </w:r>
      <w:r w:rsidRPr="00131D78">
        <w:rPr>
          <w:rFonts w:cstheme="minorHAnsi"/>
        </w:rPr>
        <w:t xml:space="preserve"> </w:t>
      </w:r>
      <w:hyperlink r:id="rId23" w:history="1">
        <w:r w:rsidRPr="00131D78">
          <w:rPr>
            <w:rStyle w:val="Lienhypertexte"/>
            <w:rFonts w:hAnsi="Cambria Math" w:cstheme="minorHAnsi"/>
          </w:rPr>
          <w:t>⁣</w:t>
        </w:r>
        <w:r w:rsidRPr="00131D78">
          <w:rPr>
            <w:rStyle w:val="Lienhypertexte"/>
            <w:rFonts w:cstheme="minorHAnsi"/>
          </w:rPr>
          <w:t>La Région offre un ordinateur à tous les lycéens entrant en classe de Seconde et les élèves de 1ère année de CAP | Région Pays de la Loire</w:t>
        </w:r>
      </w:hyperlink>
    </w:p>
  </w:footnote>
  <w:footnote w:id="51">
    <w:p w:rsidR="00687EFF" w:rsidRDefault="00687EFF">
      <w:pPr>
        <w:pStyle w:val="Notedebasdepage"/>
      </w:pPr>
      <w:r>
        <w:rPr>
          <w:rStyle w:val="Appelnotedebasdep"/>
        </w:rPr>
        <w:footnoteRef/>
      </w:r>
      <w:r>
        <w:t xml:space="preserve"> Le bois, à la différence du métal ou du béton armé, ne réfléchit ni n’absorbe ni ne bloque les radiofréquences.</w:t>
      </w:r>
    </w:p>
  </w:footnote>
  <w:footnote w:id="52">
    <w:p w:rsidR="00687EFF" w:rsidRDefault="00687EFF">
      <w:pPr>
        <w:pStyle w:val="Notedebasdepage"/>
      </w:pPr>
      <w:r>
        <w:rPr>
          <w:rStyle w:val="Appelnotedebasdep"/>
        </w:rPr>
        <w:footnoteRef/>
      </w:r>
      <w:r>
        <w:t xml:space="preserve"> Idiopathique : qui n’a pas de cause avérée</w:t>
      </w:r>
    </w:p>
  </w:footnote>
  <w:footnote w:id="53">
    <w:p w:rsidR="00687EFF" w:rsidRDefault="00687EFF" w:rsidP="0077770F">
      <w:pPr>
        <w:pStyle w:val="Notedebasdepage"/>
        <w:ind w:left="0" w:firstLine="0"/>
      </w:pPr>
      <w:r>
        <w:rPr>
          <w:rStyle w:val="Appelnotedebasdep"/>
        </w:rPr>
        <w:footnoteRef/>
      </w:r>
      <w:r>
        <w:t xml:space="preserve"> De l’expression « Des nains sur les épaules des géants » : la connaissance progresse notamment à partir d’un héritage scientifique.</w:t>
      </w:r>
    </w:p>
  </w:footnote>
  <w:footnote w:id="54">
    <w:p w:rsidR="00687EFF" w:rsidRDefault="00687EFF">
      <w:pPr>
        <w:pStyle w:val="Notedebasdepage"/>
      </w:pPr>
      <w:r>
        <w:rPr>
          <w:rStyle w:val="Appelnotedebasdep"/>
        </w:rPr>
        <w:footnoteRef/>
      </w:r>
      <w:r>
        <w:t xml:space="preserve"> Belpomme, Dominique. </w:t>
      </w:r>
      <w:r>
        <w:rPr>
          <w:rStyle w:val="Accentuation"/>
        </w:rPr>
        <w:t>Comment naissent les maladies</w:t>
      </w:r>
      <w:r>
        <w:t>. Les Liens qui Libèrent, 2016</w:t>
      </w:r>
    </w:p>
  </w:footnote>
  <w:footnote w:id="55">
    <w:p w:rsidR="00687EFF" w:rsidRPr="008269DF" w:rsidRDefault="00687EFF" w:rsidP="008269DF">
      <w:pPr>
        <w:pStyle w:val="Notedebasdepage"/>
        <w:ind w:left="0" w:firstLine="0"/>
        <w:rPr>
          <w:rFonts w:cstheme="minorHAnsi"/>
        </w:rPr>
      </w:pPr>
      <w:r w:rsidRPr="008269DF">
        <w:rPr>
          <w:rStyle w:val="Appelnotedebasdep"/>
          <w:rFonts w:cstheme="minorHAnsi"/>
        </w:rPr>
        <w:footnoteRef/>
      </w:r>
      <w:r w:rsidRPr="008269DF">
        <w:rPr>
          <w:rFonts w:cstheme="minorHAnsi"/>
        </w:rPr>
        <w:t xml:space="preserve"> </w:t>
      </w:r>
      <w:r w:rsidRPr="008269DF">
        <w:rPr>
          <w:rStyle w:val="relative"/>
          <w:rFonts w:cstheme="minorHAnsi"/>
        </w:rPr>
        <w:t>Belpomme et al., (2015)</w:t>
      </w:r>
      <w:r>
        <w:rPr>
          <w:rStyle w:val="relative"/>
          <w:rFonts w:cstheme="minorHAnsi"/>
        </w:rPr>
        <w:t xml:space="preserve">, </w:t>
      </w:r>
      <w:r>
        <w:rPr>
          <w:rFonts w:cstheme="minorHAnsi"/>
        </w:rPr>
        <w:t>cf. Bibliographie</w:t>
      </w:r>
    </w:p>
  </w:footnote>
  <w:footnote w:id="56">
    <w:p w:rsidR="00687EFF" w:rsidRDefault="00687EFF" w:rsidP="0076583F">
      <w:pPr>
        <w:pStyle w:val="Notedebasdepage"/>
        <w:ind w:left="0" w:firstLine="0"/>
      </w:pPr>
      <w:r>
        <w:rPr>
          <w:rStyle w:val="Appelnotedebasdep"/>
        </w:rPr>
        <w:footnoteRef/>
      </w:r>
      <w:r>
        <w:t xml:space="preserve"> A noter : toutes les ébauches de proposition d’AOP contenues dans ce mémoire ont été travaillées avec l’outil Chatgpt</w:t>
      </w:r>
      <w:r w:rsidR="00BE23C8">
        <w:t xml:space="preserve">, de façon contrôlée. </w:t>
      </w:r>
      <w:r>
        <w:t>Encore une fois, ce ne sont que des propositions.</w:t>
      </w:r>
    </w:p>
  </w:footnote>
  <w:footnote w:id="57">
    <w:p w:rsidR="00687EFF" w:rsidRDefault="00687EFF">
      <w:pPr>
        <w:pStyle w:val="Notedebasdepage"/>
      </w:pPr>
      <w:r>
        <w:rPr>
          <w:rStyle w:val="Appelnotedebasdep"/>
        </w:rPr>
        <w:footnoteRef/>
      </w:r>
      <w:r>
        <w:t xml:space="preserve"> Les études citées sont référencées dans la bibliographie à la fin de ce mémoire</w:t>
      </w:r>
    </w:p>
  </w:footnote>
  <w:footnote w:id="58">
    <w:p w:rsidR="00687EFF" w:rsidRDefault="00687EFF">
      <w:pPr>
        <w:pStyle w:val="Notedebasdepage"/>
      </w:pPr>
      <w:r>
        <w:rPr>
          <w:rStyle w:val="Appelnotedebasdep"/>
        </w:rPr>
        <w:footnoteRef/>
      </w:r>
      <w:r>
        <w:t xml:space="preserve"> « J’ai trouvé ! », en suédois. C’est moi qui l’ajoute…pour les références des travaux de Leif Salford, voir la</w:t>
      </w:r>
    </w:p>
    <w:p w:rsidR="00687EFF" w:rsidRDefault="00687EFF">
      <w:pPr>
        <w:pStyle w:val="Notedebasdepage"/>
      </w:pPr>
      <w:r>
        <w:t>bibliographie</w:t>
      </w:r>
    </w:p>
  </w:footnote>
  <w:footnote w:id="59">
    <w:p w:rsidR="00687EFF" w:rsidRDefault="00687EFF" w:rsidP="00253F77">
      <w:pPr>
        <w:pStyle w:val="Notedebasdepage"/>
      </w:pPr>
      <w:r>
        <w:rPr>
          <w:rStyle w:val="Appelnotedebasdep"/>
        </w:rPr>
        <w:footnoteRef/>
      </w:r>
      <w:r>
        <w:t xml:space="preserve"> </w:t>
      </w:r>
      <w:hyperlink r:id="rId24" w:anchor=":~:text=L%27%20acide%20%CE%B3-aminobutyrique%2C%20souvent%20abr%C3%A9g%C3%A9%20en%20GABA%20%28de,les%20insectes%2C%20il%20est%20pr%C3%A9sent%20dans%20tout%20l%27organisme." w:history="1">
        <w:r>
          <w:rPr>
            <w:rStyle w:val="Lienhypertexte"/>
          </w:rPr>
          <w:t>Acide γ-aminobutyrique — Wikipédia</w:t>
        </w:r>
      </w:hyperlink>
    </w:p>
  </w:footnote>
  <w:footnote w:id="60">
    <w:p w:rsidR="00687EFF" w:rsidRPr="00465D65" w:rsidRDefault="00687EFF">
      <w:pPr>
        <w:pStyle w:val="Notedebasdepage"/>
        <w:rPr>
          <w:rFonts w:cstheme="minorHAnsi"/>
        </w:rPr>
      </w:pPr>
      <w:r w:rsidRPr="00465D65">
        <w:rPr>
          <w:rStyle w:val="Appelnotedebasdep"/>
          <w:rFonts w:cstheme="minorHAnsi"/>
        </w:rPr>
        <w:footnoteRef/>
      </w:r>
      <w:r w:rsidRPr="00465D65">
        <w:rPr>
          <w:rFonts w:cstheme="minorHAnsi"/>
        </w:rPr>
        <w:t xml:space="preserve"> </w:t>
      </w:r>
      <w:hyperlink r:id="rId25" w:history="1">
        <w:r w:rsidRPr="00465D65">
          <w:rPr>
            <w:rStyle w:val="Lienhypertexte"/>
            <w:rFonts w:cstheme="minorHAnsi"/>
          </w:rPr>
          <w:t>Notions - Comment évaluer un effet toxique ? - CNESST</w:t>
        </w:r>
      </w:hyperlink>
    </w:p>
  </w:footnote>
  <w:footnote w:id="61">
    <w:p w:rsidR="00687EFF" w:rsidRPr="00465D65" w:rsidRDefault="00687EFF">
      <w:pPr>
        <w:pStyle w:val="Notedebasdepage"/>
        <w:rPr>
          <w:rFonts w:cstheme="minorHAnsi"/>
        </w:rPr>
      </w:pPr>
      <w:r w:rsidRPr="00465D65">
        <w:rPr>
          <w:rStyle w:val="Appelnotedebasdep"/>
          <w:rFonts w:cstheme="minorHAnsi"/>
        </w:rPr>
        <w:footnoteRef/>
      </w:r>
      <w:r>
        <w:rPr>
          <w:rFonts w:cstheme="minorHAnsi"/>
        </w:rPr>
        <w:t xml:space="preserve"> cf. annexe 22</w:t>
      </w:r>
    </w:p>
  </w:footnote>
  <w:footnote w:id="62">
    <w:p w:rsidR="00687EFF" w:rsidRPr="001D0BBA" w:rsidRDefault="00687EFF" w:rsidP="001D0BBA">
      <w:pPr>
        <w:pStyle w:val="Notedebasdepage"/>
        <w:ind w:left="0" w:firstLine="0"/>
        <w:rPr>
          <w:rFonts w:cstheme="minorHAnsi"/>
        </w:rPr>
      </w:pPr>
      <w:r w:rsidRPr="001D0BBA">
        <w:rPr>
          <w:rStyle w:val="Appelnotedebasdep"/>
          <w:rFonts w:cstheme="minorHAnsi"/>
        </w:rPr>
        <w:footnoteRef/>
      </w:r>
      <w:r w:rsidRPr="001D0BBA">
        <w:rPr>
          <w:rFonts w:cstheme="minorHAnsi"/>
        </w:rPr>
        <w:t xml:space="preserve"> Notamment : stress oxydatif, diminution de la spermatogénèse, altération du rythme cardiaque, troubles du sommeil, anxiété, troubles cognitifs, perturbations biochimiques, désordres métaboliques, perturbation endocrinienne, aberrations chromosomiques, perte d’orientation des oiseaux et poissons,…A noter : des études étaient menées sur des primate. Certaines remontent aux années 30.</w:t>
      </w:r>
    </w:p>
  </w:footnote>
  <w:footnote w:id="63">
    <w:p w:rsidR="00687EFF" w:rsidRDefault="00687EFF" w:rsidP="00586B2A">
      <w:pPr>
        <w:pStyle w:val="Notedebasdepage"/>
        <w:ind w:left="0" w:firstLine="0"/>
      </w:pPr>
      <w:r>
        <w:rPr>
          <w:rStyle w:val="Appelnotedebasdep"/>
        </w:rPr>
        <w:footnoteRef/>
      </w:r>
      <w:r>
        <w:t xml:space="preserve"> Un </w:t>
      </w:r>
      <w:r w:rsidRPr="004428AB">
        <w:rPr>
          <w:rStyle w:val="lev"/>
          <w:b w:val="0"/>
        </w:rPr>
        <w:t>matériau diélectrique</w:t>
      </w:r>
      <w:r>
        <w:t xml:space="preserve"> est un </w:t>
      </w:r>
      <w:r w:rsidRPr="004428AB">
        <w:rPr>
          <w:rStyle w:val="lev"/>
          <w:b w:val="0"/>
        </w:rPr>
        <w:t>isolant</w:t>
      </w:r>
      <w:r>
        <w:t xml:space="preserve"> qui peut être </w:t>
      </w:r>
      <w:r w:rsidRPr="004428AB">
        <w:rPr>
          <w:rStyle w:val="lev"/>
          <w:b w:val="0"/>
        </w:rPr>
        <w:t>polarisé</w:t>
      </w:r>
      <w:r w:rsidRPr="004428AB">
        <w:rPr>
          <w:b/>
        </w:rPr>
        <w:t xml:space="preserve"> </w:t>
      </w:r>
      <w:r>
        <w:t>par un champ électrique sans permettre le passage d’un courant électrique important</w:t>
      </w:r>
    </w:p>
  </w:footnote>
  <w:footnote w:id="64">
    <w:p w:rsidR="00687EFF" w:rsidRDefault="00687EFF">
      <w:pPr>
        <w:pStyle w:val="Notedebasdepage"/>
      </w:pPr>
      <w:r>
        <w:rPr>
          <w:rStyle w:val="Appelnotedebasdep"/>
        </w:rPr>
        <w:footnoteRef/>
      </w:r>
      <w:r>
        <w:t xml:space="preserve"> Merci à nouveau à Pierre Duprez pour cette formulation.</w:t>
      </w:r>
    </w:p>
  </w:footnote>
  <w:footnote w:id="65">
    <w:p w:rsidR="00687EFF" w:rsidRDefault="00687EFF">
      <w:pPr>
        <w:pStyle w:val="Notedebasdepage"/>
      </w:pPr>
      <w:r>
        <w:rPr>
          <w:rStyle w:val="Appelnotedebasdep"/>
        </w:rPr>
        <w:footnoteRef/>
      </w:r>
      <w:r>
        <w:t xml:space="preserve"> ANFR : agence nationale des fréquences</w:t>
      </w:r>
    </w:p>
  </w:footnote>
  <w:footnote w:id="66">
    <w:p w:rsidR="00687EFF" w:rsidRPr="00840674" w:rsidRDefault="00687EFF" w:rsidP="00840674">
      <w:pPr>
        <w:pStyle w:val="NormalWeb"/>
        <w:spacing w:before="0" w:beforeAutospacing="0" w:after="0" w:afterAutospacing="0"/>
        <w:jc w:val="both"/>
        <w:rPr>
          <w:rFonts w:asciiTheme="minorHAnsi" w:hAnsiTheme="minorHAnsi" w:cstheme="minorHAnsi"/>
          <w:sz w:val="20"/>
          <w:szCs w:val="20"/>
        </w:rPr>
      </w:pPr>
      <w:r w:rsidRPr="00840674">
        <w:rPr>
          <w:rStyle w:val="Appelnotedebasdep"/>
          <w:rFonts w:asciiTheme="minorHAnsi" w:hAnsiTheme="minorHAnsi" w:cstheme="minorHAnsi"/>
          <w:sz w:val="20"/>
          <w:szCs w:val="20"/>
        </w:rPr>
        <w:footnoteRef/>
      </w:r>
      <w:r w:rsidRPr="00840674">
        <w:rPr>
          <w:rFonts w:asciiTheme="minorHAnsi" w:hAnsiTheme="minorHAnsi" w:cstheme="minorHAnsi"/>
          <w:sz w:val="20"/>
          <w:szCs w:val="20"/>
        </w:rPr>
        <w:t xml:space="preserve"> </w:t>
      </w:r>
      <w:r>
        <w:rPr>
          <w:rFonts w:asciiTheme="minorHAnsi" w:hAnsiTheme="minorHAnsi" w:cstheme="minorHAnsi"/>
          <w:sz w:val="20"/>
          <w:szCs w:val="20"/>
        </w:rPr>
        <w:t xml:space="preserve">Voir à ce sujet </w:t>
      </w:r>
      <w:r w:rsidRPr="00840674">
        <w:rPr>
          <w:rFonts w:asciiTheme="minorHAnsi" w:hAnsiTheme="minorHAnsi" w:cstheme="minorHAnsi"/>
          <w:sz w:val="20"/>
          <w:szCs w:val="20"/>
        </w:rPr>
        <w:t>le point 3 de l</w:t>
      </w:r>
      <w:r>
        <w:rPr>
          <w:rFonts w:asciiTheme="minorHAnsi" w:hAnsiTheme="minorHAnsi" w:cstheme="minorHAnsi"/>
          <w:sz w:val="20"/>
          <w:szCs w:val="20"/>
        </w:rPr>
        <w:t>’annexe 23</w:t>
      </w:r>
    </w:p>
  </w:footnote>
  <w:footnote w:id="67">
    <w:p w:rsidR="00687EFF" w:rsidRDefault="00687EFF" w:rsidP="00840674">
      <w:pPr>
        <w:pStyle w:val="Notedebasdepage"/>
        <w:ind w:left="0" w:firstLine="0"/>
      </w:pPr>
      <w:r>
        <w:rPr>
          <w:rStyle w:val="Appelnotedebasdep"/>
        </w:rPr>
        <w:footnoteRef/>
      </w:r>
      <w:r>
        <w:t xml:space="preserve"> AFSSET : agence française de sécurité sanitaire de l’environnement et du travail</w:t>
      </w:r>
    </w:p>
  </w:footnote>
  <w:footnote w:id="68">
    <w:p w:rsidR="00687EFF" w:rsidRDefault="00687EFF">
      <w:pPr>
        <w:pStyle w:val="Notedebasdepage"/>
      </w:pPr>
      <w:r>
        <w:rPr>
          <w:rStyle w:val="Appelnotedebasdep"/>
        </w:rPr>
        <w:footnoteRef/>
      </w:r>
      <w:r>
        <w:t xml:space="preserve"> AFSSA : agence française de sécurité sanitaire des aliments</w:t>
      </w:r>
    </w:p>
  </w:footnote>
  <w:footnote w:id="69">
    <w:p w:rsidR="00687EFF" w:rsidRDefault="00687EFF" w:rsidP="00536701">
      <w:pPr>
        <w:pStyle w:val="Notedebasdepage"/>
        <w:ind w:left="0" w:firstLine="0"/>
      </w:pPr>
      <w:r>
        <w:rPr>
          <w:rStyle w:val="Appelnotedebasdep"/>
        </w:rPr>
        <w:footnoteRef/>
      </w:r>
      <w:r>
        <w:t xml:space="preserve"> définition qu’en donne la Loi constitutionnelle du 1er mars 2005 relative à la Charte de l’environnement, dans son article 5 : « Lorsque la réalisation d’un dommage, bien qu’incertaine en l’état des connaissances scientifiques, pourrait affecter de manière grave et irréversible l’environnement, les autorités publiques veillent, par application du principe de précaution et dans leurs domaines d’attributions, à la mise en œuvre de procédures d’évaluation des risques et à l’adoption de mesures provisoires et proportionnées afin de parer à la réalisation du dommage »</w:t>
      </w:r>
    </w:p>
  </w:footnote>
  <w:footnote w:id="70">
    <w:p w:rsidR="00687EFF" w:rsidRDefault="00687EFF" w:rsidP="00B4434E">
      <w:pPr>
        <w:pStyle w:val="Notedebasdepage"/>
        <w:ind w:left="0" w:firstLine="0"/>
      </w:pPr>
      <w:r>
        <w:rPr>
          <w:rStyle w:val="Appelnotedebasdep"/>
        </w:rPr>
        <w:footnoteRef/>
      </w:r>
      <w:r>
        <w:t xml:space="preserve"> </w:t>
      </w:r>
      <w:hyperlink r:id="rId26" w:history="1">
        <w:r>
          <w:rPr>
            <w:rStyle w:val="Lienhypertexte"/>
          </w:rPr>
          <w:t>Réduire l’exposition aux ondes des antennes-relais n’est pas justifié scientifiquement – Académie nationale de médecine | Une institution dans son temps</w:t>
        </w:r>
      </w:hyperlink>
    </w:p>
  </w:footnote>
  <w:footnote w:id="71">
    <w:p w:rsidR="00687EFF" w:rsidRPr="00A91387" w:rsidRDefault="00687EFF">
      <w:pPr>
        <w:pStyle w:val="Notedebasdepage"/>
        <w:rPr>
          <w:rFonts w:cstheme="minorHAnsi"/>
        </w:rPr>
      </w:pPr>
      <w:r>
        <w:rPr>
          <w:rStyle w:val="Appelnotedebasdep"/>
        </w:rPr>
        <w:footnoteRef/>
      </w:r>
      <w:r>
        <w:t xml:space="preserve"> </w:t>
      </w:r>
      <w:r w:rsidR="00A91387" w:rsidRPr="00A91387">
        <w:rPr>
          <w:rFonts w:cstheme="minorHAnsi"/>
          <w:shd w:val="clear" w:color="auto" w:fill="FFFFFF"/>
        </w:rPr>
        <w:t>AFSSA : agence française de sécurité sanitaire des aliments</w:t>
      </w:r>
    </w:p>
  </w:footnote>
  <w:footnote w:id="72">
    <w:p w:rsidR="00687EFF" w:rsidRDefault="00687EFF">
      <w:pPr>
        <w:pStyle w:val="Notedebasdepage"/>
      </w:pPr>
      <w:r>
        <w:rPr>
          <w:rStyle w:val="Appelnotedebasdep"/>
        </w:rPr>
        <w:footnoteRef/>
      </w:r>
      <w:r>
        <w:t xml:space="preserve"> </w:t>
      </w:r>
      <w:hyperlink r:id="rId27" w:history="1">
        <w:r>
          <w:rPr>
            <w:rStyle w:val="Lienhypertexte"/>
          </w:rPr>
          <w:t>Radiofrequences et sante : mise a jour de l'expertise | vie-publique.fr</w:t>
        </w:r>
      </w:hyperlink>
    </w:p>
  </w:footnote>
  <w:footnote w:id="73">
    <w:p w:rsidR="00687EFF" w:rsidRPr="00D73275" w:rsidRDefault="00687EFF" w:rsidP="004D5735">
      <w:pPr>
        <w:pStyle w:val="Notedebasdepage"/>
        <w:ind w:left="0" w:firstLine="0"/>
        <w:rPr>
          <w:rFonts w:cstheme="minorHAnsi"/>
        </w:rPr>
      </w:pPr>
      <w:r w:rsidRPr="00D73275">
        <w:rPr>
          <w:rStyle w:val="Appelnotedebasdep"/>
          <w:rFonts w:cstheme="minorHAnsi"/>
        </w:rPr>
        <w:footnoteRef/>
      </w:r>
      <w:r w:rsidRPr="00D73275">
        <w:rPr>
          <w:rFonts w:cstheme="minorHAnsi"/>
        </w:rPr>
        <w:t xml:space="preserve"> </w:t>
      </w:r>
      <w:hyperlink r:id="rId28" w:history="1">
        <w:r w:rsidRPr="00D73275">
          <w:rPr>
            <w:rStyle w:val="Lienhypertexte"/>
            <w:rFonts w:cstheme="minorHAnsi"/>
          </w:rPr>
          <w:t>AVIS et RAPPORT de l'Anses relatif à l’expertise sur l’hypersensibilité électromagnétique (EHS) ou intolérance environnementale idiopathique attribuée aux champs électromagnétiques (IEI-CEM)</w:t>
        </w:r>
      </w:hyperlink>
    </w:p>
  </w:footnote>
  <w:footnote w:id="74">
    <w:p w:rsidR="00687EFF" w:rsidRPr="00D73275" w:rsidRDefault="00687EFF">
      <w:pPr>
        <w:pStyle w:val="Notedebasdepage"/>
        <w:rPr>
          <w:rFonts w:cstheme="minorHAnsi"/>
        </w:rPr>
      </w:pPr>
      <w:r w:rsidRPr="00D73275">
        <w:rPr>
          <w:rStyle w:val="Appelnotedebasdep"/>
          <w:rFonts w:cstheme="minorHAnsi"/>
        </w:rPr>
        <w:footnoteRef/>
      </w:r>
      <w:r w:rsidRPr="00D73275">
        <w:rPr>
          <w:rFonts w:cstheme="minorHAnsi"/>
        </w:rPr>
        <w:t xml:space="preserve"> Voir les dates dans la première partie </w:t>
      </w:r>
    </w:p>
  </w:footnote>
  <w:footnote w:id="75">
    <w:p w:rsidR="00687EFF" w:rsidRPr="00D73275" w:rsidRDefault="00687EFF" w:rsidP="00D73275">
      <w:pPr>
        <w:ind w:left="0" w:firstLine="0"/>
        <w:rPr>
          <w:rFonts w:cstheme="minorHAnsi"/>
          <w:sz w:val="20"/>
          <w:szCs w:val="20"/>
        </w:rPr>
      </w:pPr>
      <w:r w:rsidRPr="00D73275">
        <w:rPr>
          <w:rStyle w:val="Appelnotedebasdep"/>
          <w:rFonts w:cstheme="minorHAnsi"/>
          <w:sz w:val="20"/>
          <w:szCs w:val="20"/>
        </w:rPr>
        <w:footnoteRef/>
      </w:r>
      <w:r w:rsidRPr="00D73275">
        <w:rPr>
          <w:rFonts w:cstheme="minorHAnsi"/>
          <w:sz w:val="20"/>
          <w:szCs w:val="20"/>
        </w:rPr>
        <w:t xml:space="preserve"> </w:t>
      </w:r>
      <w:hyperlink r:id="rId29" w:history="1">
        <w:r w:rsidRPr="00D73275">
          <w:rPr>
            <w:rStyle w:val="Lienhypertexte"/>
            <w:rFonts w:cstheme="minorHAnsi"/>
            <w:sz w:val="20"/>
            <w:szCs w:val="20"/>
          </w:rPr>
          <w:t>shiny.ens-paris-saclay.fr/app_direct/gallicagram/</w:t>
        </w:r>
      </w:hyperlink>
      <w:r w:rsidRPr="00D73275">
        <w:rPr>
          <w:rFonts w:cstheme="minorHAnsi"/>
          <w:sz w:val="20"/>
          <w:szCs w:val="20"/>
        </w:rPr>
        <w:t xml:space="preserve"> , créé parBenoît de Courson, doctorant en sciences sociales, et Benjamin Azoulay</w:t>
      </w:r>
      <w:r w:rsidRPr="00D73275">
        <w:rPr>
          <w:rStyle w:val="Appelnotedebasdep"/>
          <w:rFonts w:cstheme="minorHAnsi"/>
          <w:sz w:val="20"/>
          <w:szCs w:val="20"/>
        </w:rPr>
        <w:footnoteRef/>
      </w:r>
    </w:p>
  </w:footnote>
  <w:footnote w:id="76">
    <w:p w:rsidR="00687EFF" w:rsidRDefault="00687EFF">
      <w:pPr>
        <w:pStyle w:val="Notedebasdepage"/>
      </w:pPr>
      <w:r>
        <w:rPr>
          <w:rStyle w:val="Appelnotedebasdep"/>
        </w:rPr>
        <w:footnoteRef/>
      </w:r>
      <w:r>
        <w:t xml:space="preserve"> ACRIMED : Observatoire des médias, Action-Critique-Medias, association loi 1901</w:t>
      </w:r>
    </w:p>
  </w:footnote>
  <w:footnote w:id="77">
    <w:p w:rsidR="00687EFF" w:rsidRPr="00CE4284" w:rsidRDefault="00687EFF" w:rsidP="00CE4284">
      <w:pPr>
        <w:pStyle w:val="Notedebasdepage"/>
        <w:ind w:left="0" w:firstLine="0"/>
        <w:rPr>
          <w:rFonts w:cstheme="minorHAnsi"/>
        </w:rPr>
      </w:pPr>
      <w:r w:rsidRPr="00CE4284">
        <w:rPr>
          <w:rStyle w:val="Appelnotedebasdep"/>
          <w:rFonts w:cstheme="minorHAnsi"/>
        </w:rPr>
        <w:footnoteRef/>
      </w:r>
      <w:r w:rsidRPr="00CE4284">
        <w:rPr>
          <w:rFonts w:cstheme="minorHAnsi"/>
        </w:rPr>
        <w:t xml:space="preserve"> </w:t>
      </w:r>
      <w:r w:rsidRPr="00CE4284">
        <w:rPr>
          <w:rFonts w:cstheme="minorHAnsi"/>
          <w:shd w:val="clear" w:color="auto" w:fill="FFFFFF"/>
        </w:rPr>
        <w:t>International Commission for Non-Ionizing Radiation Protection</w:t>
      </w:r>
      <w:r>
        <w:rPr>
          <w:rFonts w:cstheme="minorHAnsi"/>
          <w:shd w:val="clear" w:color="auto" w:fill="FFFFFF"/>
        </w:rPr>
        <w:t xml:space="preserve"> (</w:t>
      </w:r>
      <w:r>
        <w:rPr>
          <w:rStyle w:val="relative"/>
        </w:rPr>
        <w:t>Commission internationale de protection contre les rayonnements non ionisants)</w:t>
      </w:r>
    </w:p>
  </w:footnote>
  <w:footnote w:id="78">
    <w:p w:rsidR="00687EFF" w:rsidRDefault="00687EFF" w:rsidP="004260BF">
      <w:pPr>
        <w:pStyle w:val="Notedebasdepage"/>
        <w:ind w:left="0" w:firstLine="0"/>
      </w:pPr>
      <w:r>
        <w:rPr>
          <w:rStyle w:val="Appelnotedebasdep"/>
        </w:rPr>
        <w:footnoteRef/>
      </w:r>
      <w:r>
        <w:t xml:space="preserve"> Le CIRC (Centre International de Recherche sur le Cancer) a classé les radiofréquences en 2B – cancérogène possible en 2011.</w:t>
      </w:r>
    </w:p>
  </w:footnote>
  <w:footnote w:id="79">
    <w:p w:rsidR="00687EFF" w:rsidRPr="004260BF" w:rsidRDefault="00687EFF">
      <w:pPr>
        <w:pStyle w:val="Notedebasdepage"/>
        <w:rPr>
          <w:rFonts w:cstheme="minorHAnsi"/>
        </w:rPr>
      </w:pPr>
      <w:r w:rsidRPr="004260BF">
        <w:rPr>
          <w:rStyle w:val="Appelnotedebasdep"/>
          <w:rFonts w:cstheme="minorHAnsi"/>
        </w:rPr>
        <w:footnoteRef/>
      </w:r>
      <w:r w:rsidRPr="004260BF">
        <w:rPr>
          <w:rFonts w:cstheme="minorHAnsi"/>
        </w:rPr>
        <w:t xml:space="preserve"> Melnick R. (2020), Nordhagen et Flydal (2022)</w:t>
      </w:r>
      <w:r>
        <w:rPr>
          <w:rFonts w:cstheme="minorHAnsi"/>
        </w:rPr>
        <w:t>, ICBE-EMF (2022)</w:t>
      </w:r>
    </w:p>
  </w:footnote>
  <w:footnote w:id="80">
    <w:p w:rsidR="00687EFF" w:rsidRDefault="00687EFF">
      <w:pPr>
        <w:pStyle w:val="Notedebasdepage"/>
      </w:pPr>
      <w:r>
        <w:rPr>
          <w:rStyle w:val="Appelnotedebasdep"/>
        </w:rPr>
        <w:footnoteRef/>
      </w:r>
      <w:r>
        <w:t xml:space="preserve"> Hardell et al. (2024), Frank et al. (2024)</w:t>
      </w:r>
    </w:p>
  </w:footnote>
  <w:footnote w:id="81">
    <w:p w:rsidR="00687EFF" w:rsidRPr="00D94B82" w:rsidRDefault="00687EFF">
      <w:pPr>
        <w:pStyle w:val="Notedebasdepage"/>
      </w:pPr>
      <w:r w:rsidRPr="00D94B82">
        <w:rPr>
          <w:rStyle w:val="Appelnotedebasdep"/>
        </w:rPr>
        <w:footnoteRef/>
      </w:r>
      <w:r w:rsidRPr="00D94B82">
        <w:t xml:space="preserve"> afin de ne pas entraver le développement du numérique éducatif</w:t>
      </w:r>
    </w:p>
  </w:footnote>
  <w:footnote w:id="82">
    <w:p w:rsidR="00687EFF" w:rsidRPr="00D94B82" w:rsidRDefault="00687EFF" w:rsidP="00C602E9">
      <w:pPr>
        <w:pStyle w:val="Notedebasdepage"/>
      </w:pPr>
      <w:r w:rsidRPr="00D94B82">
        <w:rPr>
          <w:rStyle w:val="Appelnotedebasdep"/>
        </w:rPr>
        <w:footnoteRef/>
      </w:r>
      <w:r w:rsidRPr="00D94B82">
        <w:t xml:space="preserve"> </w:t>
      </w:r>
      <w:hyperlink r:id="rId30" w:history="1">
        <w:r w:rsidRPr="00D94B82">
          <w:rPr>
            <w:rStyle w:val="Lienhypertexte"/>
          </w:rPr>
          <w:t>Légifrance - Publications officielles - Journal officiel - JORF n° 0182 du 06/08/2016</w:t>
        </w:r>
      </w:hyperlink>
    </w:p>
  </w:footnote>
  <w:footnote w:id="83">
    <w:p w:rsidR="00687EFF" w:rsidRPr="00D94B82" w:rsidRDefault="00687EFF" w:rsidP="00DB701B">
      <w:pPr>
        <w:pStyle w:val="Notedebasdepage"/>
        <w:rPr>
          <w:rFonts w:cstheme="minorHAnsi"/>
          <w:b/>
        </w:rPr>
      </w:pPr>
      <w:r w:rsidRPr="00D94B82">
        <w:rPr>
          <w:rStyle w:val="Appelnotedebasdep"/>
          <w:rFonts w:cstheme="minorHAnsi"/>
          <w:b/>
        </w:rPr>
        <w:footnoteRef/>
      </w:r>
      <w:r w:rsidRPr="00D94B82">
        <w:rPr>
          <w:rFonts w:cstheme="minorHAnsi"/>
          <w:b/>
        </w:rPr>
        <w:t xml:space="preserve"> </w:t>
      </w:r>
      <w:r w:rsidRPr="00D94B82">
        <w:rPr>
          <w:rStyle w:val="lev"/>
          <w:rFonts w:cstheme="minorHAnsi"/>
          <w:b w:val="0"/>
          <w:shd w:val="clear" w:color="auto" w:fill="FFFFFF"/>
        </w:rPr>
        <w:t>loi du 23 novembre 2018 portant Evolution du Logement, de l'Aménagement et du Numérique</w:t>
      </w:r>
    </w:p>
  </w:footnote>
  <w:footnote w:id="84">
    <w:p w:rsidR="00687EFF" w:rsidRPr="00D94B82" w:rsidRDefault="00687EFF" w:rsidP="000B2A85">
      <w:pPr>
        <w:pStyle w:val="Notedebasdepage"/>
        <w:ind w:left="0" w:firstLine="0"/>
        <w:rPr>
          <w:rFonts w:cstheme="minorHAnsi"/>
        </w:rPr>
      </w:pPr>
      <w:r w:rsidRPr="00D94B82">
        <w:rPr>
          <w:rStyle w:val="Appelnotedebasdep"/>
          <w:rFonts w:cstheme="minorHAnsi"/>
        </w:rPr>
        <w:footnoteRef/>
      </w:r>
      <w:r w:rsidRPr="00D94B82">
        <w:rPr>
          <w:rFonts w:cstheme="minorHAnsi"/>
        </w:rPr>
        <w:t xml:space="preserve"> dans le cadre de l’état d’urgence sanitaire (Covid-19). Une situation analogue avec l’extension des zones d’épandage de pesticides durant cette même période ?</w:t>
      </w:r>
    </w:p>
  </w:footnote>
  <w:footnote w:id="85">
    <w:p w:rsidR="00687EFF" w:rsidRPr="00D94B82" w:rsidRDefault="00687EFF" w:rsidP="000B2A85">
      <w:pPr>
        <w:ind w:left="0" w:firstLine="0"/>
        <w:rPr>
          <w:sz w:val="20"/>
          <w:szCs w:val="20"/>
        </w:rPr>
      </w:pPr>
      <w:r w:rsidRPr="00D94B82">
        <w:rPr>
          <w:rStyle w:val="Appelnotedebasdep"/>
          <w:rFonts w:cstheme="minorHAnsi"/>
          <w:sz w:val="20"/>
          <w:szCs w:val="20"/>
        </w:rPr>
        <w:footnoteRef/>
      </w:r>
      <w:r w:rsidRPr="00D94B82">
        <w:rPr>
          <w:rFonts w:cstheme="minorHAnsi"/>
          <w:sz w:val="20"/>
          <w:szCs w:val="20"/>
        </w:rPr>
        <w:t xml:space="preserve">  « En France, les initiatives de Wifi territorial se développent de manière croissante depuis dix ans. L’Union</w:t>
      </w:r>
      <w:r w:rsidRPr="00D94B82">
        <w:rPr>
          <w:sz w:val="20"/>
          <w:szCs w:val="20"/>
        </w:rPr>
        <w:t xml:space="preserve"> européenne soutient cette dynamique, grâce au programme Wifi4EU. Ce dispositif propose jusqu’en 2020 une aide financière aux collectivités de toute l’Europe souhaitant mettre en place une offre de Wifi gratuite. » Banque des territoires, 2018 </w:t>
      </w:r>
      <w:hyperlink r:id="rId31" w:history="1">
        <w:r w:rsidRPr="00D94B82">
          <w:rPr>
            <w:rStyle w:val="Lienhypertexte"/>
            <w:sz w:val="20"/>
            <w:szCs w:val="20"/>
          </w:rPr>
          <w:t>Guide Wifi territorial v1.4</w:t>
        </w:r>
      </w:hyperlink>
      <w:r w:rsidRPr="00D94B82">
        <w:rPr>
          <w:sz w:val="20"/>
          <w:szCs w:val="20"/>
        </w:rPr>
        <w:t xml:space="preserve"> </w:t>
      </w:r>
    </w:p>
  </w:footnote>
  <w:footnote w:id="86">
    <w:p w:rsidR="00687EFF" w:rsidRPr="00D94B82" w:rsidRDefault="00687EFF">
      <w:pPr>
        <w:pStyle w:val="Notedebasdepage"/>
        <w:rPr>
          <w:rFonts w:cstheme="minorHAnsi"/>
        </w:rPr>
      </w:pPr>
      <w:r w:rsidRPr="00D94B82">
        <w:rPr>
          <w:rStyle w:val="Appelnotedebasdep"/>
          <w:rFonts w:cstheme="minorHAnsi"/>
        </w:rPr>
        <w:footnoteRef/>
      </w:r>
      <w:r w:rsidRPr="00D94B82">
        <w:rPr>
          <w:rFonts w:cstheme="minorHAnsi"/>
        </w:rPr>
        <w:t xml:space="preserve"> </w:t>
      </w:r>
      <w:hyperlink r:id="rId32" w:history="1">
        <w:r w:rsidRPr="00D94B82">
          <w:rPr>
            <w:rStyle w:val="Lienhypertexte"/>
            <w:rFonts w:cstheme="minorHAnsi"/>
          </w:rPr>
          <w:t>Plan Mayotte debout | info.gouv.fr</w:t>
        </w:r>
      </w:hyperlink>
      <w:r w:rsidRPr="00D94B82">
        <w:rPr>
          <w:rFonts w:cstheme="minorHAnsi"/>
        </w:rPr>
        <w:t xml:space="preserve">  </w:t>
      </w:r>
    </w:p>
  </w:footnote>
  <w:footnote w:id="87">
    <w:p w:rsidR="00687EFF" w:rsidRPr="00EC5DDD" w:rsidRDefault="00687EFF">
      <w:pPr>
        <w:pStyle w:val="Notedebasdepage"/>
        <w:rPr>
          <w:rFonts w:cstheme="minorHAnsi"/>
        </w:rPr>
      </w:pPr>
      <w:r w:rsidRPr="00EC5DDD">
        <w:rPr>
          <w:rStyle w:val="Appelnotedebasdep"/>
          <w:rFonts w:cstheme="minorHAnsi"/>
        </w:rPr>
        <w:footnoteRef/>
      </w:r>
      <w:r w:rsidRPr="00EC5DDD">
        <w:rPr>
          <w:rFonts w:cstheme="minorHAnsi"/>
        </w:rPr>
        <w:t xml:space="preserve"> Quelle est la force de ce terme ?</w:t>
      </w:r>
    </w:p>
  </w:footnote>
  <w:footnote w:id="88">
    <w:p w:rsidR="00687EFF" w:rsidRPr="006D1404" w:rsidRDefault="00687EFF" w:rsidP="00D5281D">
      <w:pPr>
        <w:pStyle w:val="Notedebasdepage"/>
        <w:ind w:left="0" w:firstLine="0"/>
        <w:rPr>
          <w:rFonts w:cstheme="minorHAnsi"/>
          <w:sz w:val="22"/>
          <w:szCs w:val="22"/>
        </w:rPr>
      </w:pPr>
      <w:r>
        <w:rPr>
          <w:rStyle w:val="Appelnotedebasdep"/>
        </w:rPr>
        <w:footnoteRef/>
      </w:r>
      <w:r>
        <w:t xml:space="preserve"> Notons l’émergence d’un néologisme : nomophobie, mot valise provenant de la contraction de « no mobile phone » et de «phobie», qui désigne la peur qu’une personne ressent lorsqu’elle ne peut utiliser son smartphone.</w:t>
      </w:r>
    </w:p>
  </w:footnote>
  <w:footnote w:id="89">
    <w:p w:rsidR="00687EFF" w:rsidRDefault="00687EFF">
      <w:pPr>
        <w:pStyle w:val="Notedebasdepage"/>
      </w:pPr>
      <w:r>
        <w:rPr>
          <w:rStyle w:val="Appelnotedebasdep"/>
        </w:rPr>
        <w:footnoteRef/>
      </w:r>
      <w:r>
        <w:t xml:space="preserve"> NIMBY : not in my backyard (pas sur ma parcelle), en gros : oui, mais ailleurs</w:t>
      </w:r>
    </w:p>
  </w:footnote>
  <w:footnote w:id="90">
    <w:p w:rsidR="00687EFF" w:rsidRDefault="00687EFF" w:rsidP="00184334">
      <w:pPr>
        <w:pStyle w:val="Notedebasdepage"/>
      </w:pPr>
      <w:r>
        <w:rPr>
          <w:rStyle w:val="Appelnotedebasdep"/>
        </w:rPr>
        <w:footnoteRef/>
      </w:r>
      <w:r>
        <w:t xml:space="preserve"> </w:t>
      </w:r>
      <w:hyperlink r:id="rId33" w:history="1">
        <w:r>
          <w:rPr>
            <w:rStyle w:val="Lienhypertexte"/>
          </w:rPr>
          <w:t>Le syndrome isolateur | Comment les EHS refont société</w:t>
        </w:r>
      </w:hyperlink>
    </w:p>
  </w:footnote>
  <w:footnote w:id="91">
    <w:p w:rsidR="00687EFF" w:rsidRDefault="00687EFF">
      <w:pPr>
        <w:pStyle w:val="Notedebasdepage"/>
      </w:pPr>
      <w:r>
        <w:rPr>
          <w:rStyle w:val="Appelnotedebasdep"/>
        </w:rPr>
        <w:footnoteRef/>
      </w:r>
      <w:r>
        <w:t xml:space="preserve"> Entre 3 et 8%, selon le rapport ANSES 2018 sur l’hypersensibilité électromagnétique</w:t>
      </w:r>
    </w:p>
  </w:footnote>
  <w:footnote w:id="92">
    <w:p w:rsidR="00687EFF" w:rsidRDefault="00687EFF">
      <w:pPr>
        <w:pStyle w:val="Notedebasdepage"/>
      </w:pPr>
      <w:r>
        <w:rPr>
          <w:rStyle w:val="Appelnotedebasdep"/>
        </w:rPr>
        <w:footnoteRef/>
      </w:r>
      <w:r>
        <w:t xml:space="preserve"> Liste loin d’être exhaustive, ces associations sont françaises et ont nombre d’homologues à travers le monde.</w:t>
      </w:r>
    </w:p>
  </w:footnote>
  <w:footnote w:id="93">
    <w:p w:rsidR="00687EFF" w:rsidRDefault="00687EFF">
      <w:pPr>
        <w:pStyle w:val="Notedebasdepage"/>
      </w:pPr>
      <w:r>
        <w:rPr>
          <w:rStyle w:val="Appelnotedebasdep"/>
        </w:rPr>
        <w:footnoteRef/>
      </w:r>
      <w:r>
        <w:t xml:space="preserve"> </w:t>
      </w:r>
      <w:hyperlink r:id="rId34" w:history="1">
        <w:r>
          <w:rPr>
            <w:rStyle w:val="Lienhypertexte"/>
          </w:rPr>
          <w:t>Pétition : Pour des lieux de vie sans ondes pour les électrohypersensibles et pour la santé de tous !</w:t>
        </w:r>
      </w:hyperlink>
      <w:r>
        <w:t xml:space="preserve"> 13100 signatures </w:t>
      </w:r>
    </w:p>
  </w:footnote>
  <w:footnote w:id="94">
    <w:p w:rsidR="00687EFF" w:rsidRDefault="00687EFF">
      <w:pPr>
        <w:pStyle w:val="Notedebasdepage"/>
      </w:pPr>
      <w:r>
        <w:rPr>
          <w:rStyle w:val="Appelnotedebasdep"/>
        </w:rPr>
        <w:footnoteRef/>
      </w:r>
      <w:r>
        <w:t xml:space="preserve"> </w:t>
      </w:r>
      <w:hyperlink r:id="rId35" w:history="1">
        <w:r>
          <w:rPr>
            <w:rStyle w:val="Lienhypertexte"/>
          </w:rPr>
          <w:t>ehs:dossier_de_presse:appel_des_canaris_-_ondes_et_santé_nous_alertons.pdf</w:t>
        </w:r>
      </w:hyperlink>
    </w:p>
  </w:footnote>
  <w:footnote w:id="95">
    <w:p w:rsidR="00687EFF" w:rsidRDefault="00687EFF">
      <w:pPr>
        <w:pStyle w:val="Notedebasdepage"/>
      </w:pPr>
      <w:r>
        <w:rPr>
          <w:rStyle w:val="Appelnotedebasdep"/>
        </w:rPr>
        <w:footnoteRef/>
      </w:r>
      <w:r>
        <w:t xml:space="preserve"> Extrait du documentaire de Nathalie Barbe, </w:t>
      </w:r>
      <w:r w:rsidRPr="003F2599">
        <w:rPr>
          <w:i/>
        </w:rPr>
        <w:t>Agriculteurs sous tension : une omerta française</w:t>
      </w:r>
      <w:r>
        <w:t xml:space="preserve"> </w:t>
      </w:r>
      <w:hyperlink r:id="rId36" w:history="1">
        <w:r>
          <w:rPr>
            <w:rStyle w:val="Lienhypertexte"/>
          </w:rPr>
          <w:t>Wix creation 30sec FR</w:t>
        </w:r>
      </w:hyperlink>
    </w:p>
  </w:footnote>
  <w:footnote w:id="96">
    <w:p w:rsidR="00687EFF" w:rsidRPr="00BD6C00" w:rsidRDefault="00687EFF" w:rsidP="00367C86">
      <w:pPr>
        <w:pStyle w:val="Notedebasdepage"/>
        <w:ind w:left="0" w:firstLine="0"/>
        <w:rPr>
          <w:rFonts w:cstheme="minorHAnsi"/>
        </w:rPr>
      </w:pPr>
      <w:r w:rsidRPr="00BD6C00">
        <w:rPr>
          <w:rStyle w:val="Appelnotedebasdep"/>
          <w:rFonts w:cstheme="minorHAnsi"/>
        </w:rPr>
        <w:footnoteRef/>
      </w:r>
      <w:r w:rsidRPr="00BD6C00">
        <w:rPr>
          <w:rFonts w:cstheme="minorHAnsi"/>
        </w:rPr>
        <w:t xml:space="preserve"> commençant par ces mots « Par grand souci pour la santé de nos contemporains, nous nous adressons - en tant que médecins de toutes spécialités (spécialement de la médecine environnementale) (…) »,  </w:t>
      </w:r>
    </w:p>
  </w:footnote>
  <w:footnote w:id="97">
    <w:p w:rsidR="00687EFF" w:rsidRPr="00EC5DDD" w:rsidRDefault="00687EFF" w:rsidP="00367C86">
      <w:pPr>
        <w:pStyle w:val="Notedebasdepage"/>
        <w:ind w:left="0" w:firstLine="0"/>
        <w:rPr>
          <w:rFonts w:cstheme="minorHAnsi"/>
        </w:rPr>
      </w:pPr>
      <w:r w:rsidRPr="00EC5DDD">
        <w:rPr>
          <w:rStyle w:val="Appelnotedebasdep"/>
          <w:rFonts w:cstheme="minorHAnsi"/>
        </w:rPr>
        <w:footnoteRef/>
      </w:r>
      <w:r w:rsidRPr="00EC5DDD">
        <w:rPr>
          <w:rFonts w:cstheme="minorHAnsi"/>
        </w:rPr>
        <w:t xml:space="preserve"> Appel EMF-scientist signé à ce jour par 262 scientifiques ayant produit plus de 2000 articles sur les effets biologiques et sanitaires des radiofréquences</w:t>
      </w:r>
    </w:p>
  </w:footnote>
  <w:footnote w:id="98">
    <w:p w:rsidR="00687EFF" w:rsidRPr="00EC5DDD" w:rsidRDefault="00687EFF" w:rsidP="00367C86">
      <w:pPr>
        <w:pStyle w:val="Notedebasdepage"/>
        <w:rPr>
          <w:rFonts w:cstheme="minorHAnsi"/>
        </w:rPr>
      </w:pPr>
      <w:r w:rsidRPr="00EC5DDD">
        <w:rPr>
          <w:rStyle w:val="Appelnotedebasdep"/>
          <w:rFonts w:cstheme="minorHAnsi"/>
        </w:rPr>
        <w:footnoteRef/>
      </w:r>
      <w:r w:rsidRPr="00EC5DDD">
        <w:rPr>
          <w:rFonts w:cstheme="minorHAnsi"/>
        </w:rPr>
        <w:t xml:space="preserve"> </w:t>
      </w:r>
      <w:r w:rsidRPr="00EC5DDD">
        <w:rPr>
          <w:rFonts w:cstheme="minorHAnsi"/>
          <w:shd w:val="clear" w:color="auto" w:fill="FFFFFF"/>
        </w:rPr>
        <w:t>International Commission on Biological Effects of the Electromagnetic fields</w:t>
      </w:r>
    </w:p>
  </w:footnote>
  <w:footnote w:id="99">
    <w:p w:rsidR="00687EFF" w:rsidRPr="00EC5DDD" w:rsidRDefault="00687EFF" w:rsidP="00367C86">
      <w:pPr>
        <w:ind w:left="0" w:firstLine="0"/>
        <w:rPr>
          <w:rFonts w:cstheme="minorHAnsi"/>
        </w:rPr>
      </w:pPr>
      <w:r w:rsidRPr="00EC5DDD">
        <w:rPr>
          <w:rStyle w:val="Appelnotedebasdep"/>
          <w:rFonts w:cstheme="minorHAnsi"/>
          <w:sz w:val="20"/>
          <w:szCs w:val="20"/>
        </w:rPr>
        <w:footnoteRef/>
      </w:r>
      <w:r w:rsidRPr="00EC5DDD">
        <w:rPr>
          <w:rFonts w:cstheme="minorHAnsi"/>
          <w:sz w:val="20"/>
          <w:szCs w:val="20"/>
        </w:rPr>
        <w:t xml:space="preserve"> ouvrage relatant l’histoire d’environ 35 agents dangereux depuis la première alerte précoce scientifiquement plausible à leur sujet dont, par exemple, l’amiante et les rayons X. Selon D. Gee, il est fréquent en science qu’il </w:t>
      </w:r>
      <w:r w:rsidR="00410966">
        <w:rPr>
          <w:rFonts w:cstheme="minorHAnsi"/>
          <w:sz w:val="20"/>
          <w:szCs w:val="20"/>
        </w:rPr>
        <w:t>y ait une évaluation divergente</w:t>
      </w:r>
      <w:r w:rsidRPr="00EC5DDD">
        <w:rPr>
          <w:rFonts w:cstheme="minorHAnsi"/>
          <w:sz w:val="20"/>
          <w:szCs w:val="20"/>
        </w:rPr>
        <w:t xml:space="preserve"> des mêmes preuves scientifiques, et c’est le cas entre les conclusions de l’ICNIRP et celles de l’ICBE-EMF concernant les radiofréquences.</w:t>
      </w:r>
    </w:p>
  </w:footnote>
  <w:footnote w:id="100">
    <w:p w:rsidR="00687EFF" w:rsidRPr="00520762" w:rsidRDefault="00687EFF" w:rsidP="00367C86">
      <w:pPr>
        <w:pStyle w:val="Notedebasdepage"/>
        <w:ind w:left="0" w:firstLine="0"/>
        <w:rPr>
          <w:rFonts w:cstheme="minorHAnsi"/>
        </w:rPr>
      </w:pPr>
      <w:r>
        <w:rPr>
          <w:rStyle w:val="Appelnotedebasdep"/>
        </w:rPr>
        <w:footnoteRef/>
      </w:r>
      <w:r>
        <w:t xml:space="preserve"> </w:t>
      </w:r>
      <w:r w:rsidRPr="00EC5DDD">
        <w:rPr>
          <w:rFonts w:cstheme="minorHAnsi"/>
        </w:rPr>
        <w:t>« Téléphone flexible, réalité virtuelle, les débits toujours plus puissants associés aux nanotechnologies devraient nous réserver encore de belles surprises. »</w:t>
      </w:r>
      <w:r>
        <w:rPr>
          <w:rFonts w:cstheme="minorHAnsi"/>
        </w:rPr>
        <w:t xml:space="preserve"> </w:t>
      </w:r>
      <w:r w:rsidRPr="00520762">
        <w:rPr>
          <w:rFonts w:cstheme="minorHAnsi"/>
        </w:rPr>
        <w:t>www.mobilophiles.com</w:t>
      </w:r>
    </w:p>
  </w:footnote>
  <w:footnote w:id="101">
    <w:p w:rsidR="00687EFF" w:rsidRPr="00582EF4" w:rsidRDefault="00687EFF" w:rsidP="00367C86">
      <w:pPr>
        <w:pStyle w:val="Notedebasdepage"/>
        <w:ind w:left="0" w:firstLine="0"/>
        <w:rPr>
          <w:rFonts w:cstheme="minorHAnsi"/>
        </w:rPr>
      </w:pPr>
      <w:r w:rsidRPr="00582EF4">
        <w:rPr>
          <w:rStyle w:val="Appelnotedebasdep"/>
          <w:rFonts w:cstheme="minorHAnsi"/>
        </w:rPr>
        <w:footnoteRef/>
      </w:r>
      <w:r w:rsidRPr="00582EF4">
        <w:rPr>
          <w:rFonts w:cstheme="minorHAnsi"/>
        </w:rPr>
        <w:t xml:space="preserve"> </w:t>
      </w:r>
      <w:hyperlink r:id="rId37" w:history="1">
        <w:r w:rsidRPr="00582EF4">
          <w:rPr>
            <w:rStyle w:val="Lienhypertexte"/>
            <w:rFonts w:cstheme="minorHAnsi"/>
          </w:rPr>
          <w:t>François Dedieu, sociologue : « La toxicologie réglementaire reste aveugle à une diversité d’effets possibles des pesticides »</w:t>
        </w:r>
      </w:hyperlink>
    </w:p>
  </w:footnote>
  <w:footnote w:id="102">
    <w:p w:rsidR="00687EFF" w:rsidRPr="00582EF4" w:rsidRDefault="00687EFF" w:rsidP="00367C86">
      <w:pPr>
        <w:pStyle w:val="Notedebasdepage"/>
        <w:ind w:left="0" w:firstLine="0"/>
        <w:rPr>
          <w:rFonts w:cstheme="minorHAnsi"/>
        </w:rPr>
      </w:pPr>
      <w:r w:rsidRPr="00582EF4">
        <w:rPr>
          <w:rStyle w:val="Appelnotedebasdep"/>
          <w:rFonts w:cstheme="minorHAnsi"/>
        </w:rPr>
        <w:footnoteRef/>
      </w:r>
      <w:r w:rsidRPr="00582EF4">
        <w:rPr>
          <w:rFonts w:cstheme="minorHAnsi"/>
        </w:rPr>
        <w:t xml:space="preserve"> </w:t>
      </w:r>
      <w:hyperlink r:id="rId38" w:history="1">
        <w:r w:rsidRPr="00582EF4">
          <w:rPr>
            <w:rStyle w:val="Lienhypertexte"/>
            <w:rFonts w:cstheme="minorHAnsi"/>
          </w:rPr>
          <w:t>https://theconversation.com/smartphones-pourquoi-vos-enfants-ont-tant-de-mal-a-se-deconnecter-179966</w:t>
        </w:r>
      </w:hyperlink>
      <w:r w:rsidRPr="00582EF4">
        <w:rPr>
          <w:rFonts w:cstheme="minorHAnsi"/>
        </w:rPr>
        <w:t xml:space="preserve"> : </w:t>
      </w:r>
    </w:p>
    <w:p w:rsidR="00687EFF" w:rsidRPr="00367C86" w:rsidRDefault="00687EFF" w:rsidP="00367C86">
      <w:pPr>
        <w:pStyle w:val="Notedebasdepage"/>
        <w:ind w:left="0" w:firstLine="0"/>
        <w:rPr>
          <w:rFonts w:cstheme="minorHAnsi"/>
        </w:rPr>
      </w:pPr>
      <w:r w:rsidRPr="00367C86">
        <w:rPr>
          <w:rFonts w:cstheme="minorHAnsi"/>
        </w:rPr>
        <w:t>Comme le souligne Meghan Owenz, chercheuse américaine en psychologie, « </w:t>
      </w:r>
      <w:r w:rsidRPr="00367C86">
        <w:rPr>
          <w:rFonts w:cstheme="minorHAnsi"/>
          <w:shd w:val="clear" w:color="auto" w:fill="F7F7F7"/>
        </w:rPr>
        <w:t>Chaque fois qu’un parent tente de persuader son enfant d’arrêter un jeu en ligne ou de mettre de côté son appareil, ce n’est pas tant à lui qu’il s’affronte qu’à l’invisible armée de spécialistes du comportement qui rendent les nouvelles technologies si addictives. »</w:t>
      </w:r>
    </w:p>
  </w:footnote>
  <w:footnote w:id="103">
    <w:p w:rsidR="00687EFF" w:rsidRPr="00367C86" w:rsidRDefault="00687EFF" w:rsidP="00367C86">
      <w:pPr>
        <w:pStyle w:val="NormalWeb"/>
        <w:spacing w:before="0" w:beforeAutospacing="0" w:after="0" w:afterAutospacing="0"/>
        <w:jc w:val="both"/>
        <w:rPr>
          <w:rFonts w:asciiTheme="minorHAnsi" w:hAnsiTheme="minorHAnsi" w:cstheme="minorHAnsi"/>
          <w:spacing w:val="-4"/>
          <w:sz w:val="20"/>
          <w:szCs w:val="20"/>
          <w:shd w:val="clear" w:color="auto" w:fill="FFFFFF"/>
        </w:rPr>
      </w:pPr>
      <w:r w:rsidRPr="00582EF4">
        <w:rPr>
          <w:rStyle w:val="Appelnotedebasdep"/>
          <w:rFonts w:asciiTheme="minorHAnsi" w:hAnsiTheme="minorHAnsi" w:cstheme="minorHAnsi"/>
          <w:sz w:val="20"/>
          <w:szCs w:val="20"/>
        </w:rPr>
        <w:footnoteRef/>
      </w:r>
      <w:r w:rsidRPr="00582EF4">
        <w:rPr>
          <w:rFonts w:asciiTheme="minorHAnsi" w:hAnsiTheme="minorHAnsi" w:cstheme="minorHAnsi"/>
          <w:sz w:val="20"/>
          <w:szCs w:val="20"/>
        </w:rPr>
        <w:t xml:space="preserve"> </w:t>
      </w:r>
      <w:hyperlink r:id="rId39" w:history="1">
        <w:r w:rsidRPr="00582EF4">
          <w:rPr>
            <w:rStyle w:val="Lienhypertexte"/>
            <w:rFonts w:asciiTheme="minorHAnsi" w:hAnsiTheme="minorHAnsi" w:cstheme="minorHAnsi"/>
            <w:sz w:val="20"/>
            <w:szCs w:val="20"/>
          </w:rPr>
          <w:t>Philippe Bihouix : « Le monde d’après sera celui de la sobriété systémique »</w:t>
        </w:r>
      </w:hyperlink>
      <w:r w:rsidRPr="00582EF4">
        <w:rPr>
          <w:rFonts w:asciiTheme="minorHAnsi" w:hAnsiTheme="minorHAnsi" w:cstheme="minorHAnsi"/>
          <w:sz w:val="20"/>
          <w:szCs w:val="20"/>
        </w:rPr>
        <w:t xml:space="preserve"> : </w:t>
      </w:r>
      <w:r w:rsidRPr="00367C86">
        <w:rPr>
          <w:rFonts w:asciiTheme="minorHAnsi" w:hAnsiTheme="minorHAnsi" w:cstheme="minorHAnsi"/>
          <w:sz w:val="20"/>
          <w:szCs w:val="20"/>
        </w:rPr>
        <w:t>« </w:t>
      </w:r>
      <w:r w:rsidRPr="00367C86">
        <w:rPr>
          <w:rFonts w:asciiTheme="minorHAnsi" w:hAnsiTheme="minorHAnsi" w:cstheme="minorHAnsi"/>
          <w:spacing w:val="-4"/>
          <w:sz w:val="20"/>
          <w:szCs w:val="20"/>
          <w:shd w:val="clear" w:color="auto" w:fill="FFFFFF"/>
        </w:rPr>
        <w:t xml:space="preserve">le discernement technologique est important : les machines permettent un certain nombre de choses souhaitables et bénéfiques — en permettant aux humains de s’éviter certains actes professionnels pénibles — mais, dans le même temps, il y a </w:t>
      </w:r>
      <w:r w:rsidRPr="00367C86">
        <w:rPr>
          <w:rFonts w:asciiTheme="minorHAnsi" w:hAnsiTheme="minorHAnsi" w:cstheme="minorHAnsi"/>
          <w:spacing w:val="-4"/>
          <w:sz w:val="20"/>
          <w:szCs w:val="20"/>
          <w:u w:val="single"/>
          <w:shd w:val="clear" w:color="auto" w:fill="FFFFFF"/>
        </w:rPr>
        <w:t>une course en avant stupide qui crée des besoins artificiels</w:t>
      </w:r>
      <w:r w:rsidRPr="00367C86">
        <w:rPr>
          <w:rFonts w:asciiTheme="minorHAnsi" w:hAnsiTheme="minorHAnsi" w:cstheme="minorHAnsi"/>
          <w:spacing w:val="-4"/>
          <w:sz w:val="20"/>
          <w:szCs w:val="20"/>
          <w:shd w:val="clear" w:color="auto" w:fill="FFFFFF"/>
        </w:rPr>
        <w:t xml:space="preserve"> [ndlr : c’est moi qui souligne] et, par ricochet, de la production qui permet de les assouvir. L’idée serait de trouver une espèce de juste mesure entre les deux. »</w:t>
      </w:r>
    </w:p>
  </w:footnote>
  <w:footnote w:id="104">
    <w:p w:rsidR="00687EFF" w:rsidRPr="00367C86" w:rsidRDefault="00687EFF" w:rsidP="00524182">
      <w:pPr>
        <w:pStyle w:val="Notedebasdepage"/>
        <w:ind w:left="0" w:firstLine="0"/>
        <w:rPr>
          <w:rFonts w:cstheme="minorHAnsi"/>
        </w:rPr>
      </w:pPr>
      <w:r w:rsidRPr="00367C86">
        <w:rPr>
          <w:rStyle w:val="Appelnotedebasdep"/>
        </w:rPr>
        <w:footnoteRef/>
      </w:r>
      <w:r w:rsidRPr="00367C86">
        <w:t xml:space="preserve"> Idem : </w:t>
      </w:r>
      <w:r w:rsidRPr="00367C86">
        <w:rPr>
          <w:rFonts w:cstheme="minorHAnsi"/>
        </w:rPr>
        <w:t>« </w:t>
      </w:r>
      <w:r w:rsidRPr="00367C86">
        <w:rPr>
          <w:rFonts w:cstheme="minorHAnsi"/>
          <w:spacing w:val="-4"/>
          <w:shd w:val="clear" w:color="auto" w:fill="FFFFFF"/>
        </w:rPr>
        <w:t>La sobriété systémique, c’est quelque chose qui est organisé, favorisé, influencé voire imposé par la puissance publique via des décisions réglementaires et fiscales. » (…) « Peut-être que demain nous reviendrons à des logiques où l’on acceptera des dégradations de performance, lesquelles auront été décidées de manière plus démocratique que technocratique. »</w:t>
      </w:r>
    </w:p>
  </w:footnote>
  <w:footnote w:id="105">
    <w:p w:rsidR="00687EFF" w:rsidRDefault="00687EFF" w:rsidP="008645DF">
      <w:pPr>
        <w:pStyle w:val="Notedebasdepage"/>
      </w:pPr>
      <w:r>
        <w:rPr>
          <w:rStyle w:val="Appelnotedebasdep"/>
        </w:rPr>
        <w:footnoteRef/>
      </w:r>
      <w:r>
        <w:t xml:space="preserve"> </w:t>
      </w:r>
      <w:hyperlink r:id="rId40" w:history="1">
        <w:r>
          <w:rPr>
            <w:rStyle w:val="Lienhypertexte"/>
          </w:rPr>
          <w:t>Champs électromagnétiques. Ce qu’il faut retenir - Risques - INRS</w:t>
        </w:r>
      </w:hyperlink>
    </w:p>
  </w:footnote>
  <w:footnote w:id="106">
    <w:p w:rsidR="00687EFF" w:rsidRPr="00D65EC9" w:rsidRDefault="00687EFF" w:rsidP="008645DF">
      <w:pPr>
        <w:pStyle w:val="Notedebasdepage"/>
      </w:pPr>
      <w:r w:rsidRPr="00D65EC9">
        <w:rPr>
          <w:rStyle w:val="Appelnotedebasdep"/>
        </w:rPr>
        <w:footnoteRef/>
      </w:r>
      <w:r w:rsidRPr="00D65EC9">
        <w:t xml:space="preserve"> </w:t>
      </w:r>
      <w:hyperlink r:id="rId41" w:history="1">
        <w:r w:rsidRPr="00D65EC9">
          <w:rPr>
            <w:rStyle w:val="Lienhypertexte"/>
          </w:rPr>
          <w:t>ondes | Frédéric Launay</w:t>
        </w:r>
      </w:hyperlink>
    </w:p>
  </w:footnote>
  <w:footnote w:id="107">
    <w:p w:rsidR="00687EFF" w:rsidRDefault="00687EFF" w:rsidP="008645DF">
      <w:pPr>
        <w:ind w:left="0" w:firstLine="0"/>
      </w:pPr>
      <w:r w:rsidRPr="00D65EC9">
        <w:rPr>
          <w:rStyle w:val="Appelnotedebasdep"/>
        </w:rPr>
        <w:footnoteRef/>
      </w:r>
      <w:r w:rsidRPr="00D65EC9">
        <w:rPr>
          <w:sz w:val="20"/>
          <w:szCs w:val="20"/>
        </w:rPr>
        <w:t xml:space="preserve"> </w:t>
      </w:r>
      <w:hyperlink r:id="rId42" w:history="1">
        <w:r w:rsidRPr="00D65EC9">
          <w:rPr>
            <w:rStyle w:val="Lienhypertexte"/>
            <w:sz w:val="20"/>
            <w:szCs w:val="20"/>
          </w:rPr>
          <w:t>Modélisation Électromagnétique du Phénomène d'Interaction des Ondes GSM avec la Tête Humaine par la Méthode des Circuits Équivalents Généralisés (MoM-GEC) dans un milieu fermé.</w:t>
        </w:r>
      </w:hyperlink>
    </w:p>
  </w:footnote>
  <w:footnote w:id="108">
    <w:p w:rsidR="00687EFF" w:rsidRPr="006942E0" w:rsidRDefault="00687EFF" w:rsidP="008645DF">
      <w:pPr>
        <w:pStyle w:val="Notedebasdepage"/>
        <w:ind w:left="0" w:firstLine="0"/>
      </w:pPr>
      <w:r>
        <w:rPr>
          <w:rStyle w:val="Appelnotedebasdep"/>
        </w:rPr>
        <w:footnoteRef/>
      </w:r>
      <w:r>
        <w:t xml:space="preserve"> Nous avons récemment pu échanger avec deux personnes qui étaient sur un toit hébergeant des antennes-relais de téléphonie mobile tandis que, incidemment, nous mesurions au niveau de la rue les émissions en V/m. Il nous était apparu que les antennes n’étaient pas éteintes alors que ces travailleurs étaient à proximité immédiate des antennes. Ayant attendu qu’ils redescendent, nous les avons par la suite interrogés : ils étaient en intervention sur l’antenne IoT, les ARTM étaient selon eux éteintes. Leur ayant demandé s’ils étaient équipés d’un champmètre (appareil pour mesurer l’exposition électromagnétique), ils ont sorti du fond de leur sac un polluomètre (appareil signalant par des leds la présence de champs électromagnétiques mais n’en donnant pas la mesure)…qui n’avait plus de piles…ils nous ont alors demandé si c’était risqué : aux scientifiques de répondre.</w:t>
      </w:r>
    </w:p>
  </w:footnote>
  <w:footnote w:id="109">
    <w:p w:rsidR="00687EFF" w:rsidRDefault="00687EFF" w:rsidP="008645DF">
      <w:pPr>
        <w:pStyle w:val="Notedebasdepage"/>
      </w:pPr>
      <w:r>
        <w:rPr>
          <w:rStyle w:val="Appelnotedebasdep"/>
        </w:rPr>
        <w:footnoteRef/>
      </w:r>
      <w:r>
        <w:t xml:space="preserve"> </w:t>
      </w:r>
      <w:hyperlink r:id="rId43" w:history="1">
        <w:r>
          <w:rPr>
            <w:rStyle w:val="Lienhypertexte"/>
          </w:rPr>
          <w:t>L’exposition et ses caractéristiques | Ineris</w:t>
        </w:r>
      </w:hyperlink>
    </w:p>
  </w:footnote>
  <w:footnote w:id="110">
    <w:p w:rsidR="00687EFF" w:rsidRDefault="00687EFF" w:rsidP="008645DF">
      <w:pPr>
        <w:pStyle w:val="Notedebasdepage"/>
      </w:pPr>
      <w:r>
        <w:rPr>
          <w:rStyle w:val="Appelnotedebasdep"/>
        </w:rPr>
        <w:footnoteRef/>
      </w:r>
      <w:r>
        <w:t xml:space="preserve"> cf.l’ouvrage de Jean-Pierre Lentin, </w:t>
      </w:r>
      <w:r w:rsidRPr="00E0363B">
        <w:rPr>
          <w:i/>
        </w:rPr>
        <w:t>Ces ondes qui tuent, ces ondes qui soignent</w:t>
      </w:r>
      <w:r w:rsidRPr="00E0363B">
        <w:t xml:space="preserve"> (Albin Michel, 2004)</w:t>
      </w:r>
    </w:p>
  </w:footnote>
  <w:footnote w:id="111">
    <w:p w:rsidR="00687EFF" w:rsidRDefault="00687EFF" w:rsidP="008645DF">
      <w:pPr>
        <w:pStyle w:val="Notedebasdepage"/>
      </w:pPr>
      <w:r>
        <w:rPr>
          <w:rStyle w:val="Appelnotedebasdep"/>
        </w:rPr>
        <w:footnoteRef/>
      </w:r>
      <w:r>
        <w:t xml:space="preserve"> </w:t>
      </w:r>
      <w:hyperlink r:id="rId44" w:history="1">
        <w:r>
          <w:rPr>
            <w:rStyle w:val="Lienhypertexte"/>
          </w:rPr>
          <w:t>LIEN VERS SAI.FR.03 Rapport d'expertise collective au sein de l'Anses</w:t>
        </w:r>
      </w:hyperlink>
    </w:p>
  </w:footnote>
  <w:footnote w:id="112">
    <w:p w:rsidR="00687EFF" w:rsidRDefault="00687EFF" w:rsidP="008645DF">
      <w:pPr>
        <w:pStyle w:val="Notedebasdepage"/>
      </w:pPr>
      <w:r>
        <w:rPr>
          <w:rStyle w:val="Appelnotedebasdep"/>
        </w:rPr>
        <w:footnoteRef/>
      </w:r>
      <w:r>
        <w:t xml:space="preserve"> </w:t>
      </w:r>
      <w:hyperlink r:id="rId45" w:history="1">
        <w:r>
          <w:rPr>
            <w:rStyle w:val="Lienhypertexte"/>
          </w:rPr>
          <w:t>LIEN VERS SAI.FR.03 Rapport d'expertise collective au sein de l'Anses</w:t>
        </w:r>
      </w:hyperlink>
    </w:p>
  </w:footnote>
  <w:footnote w:id="113">
    <w:p w:rsidR="00687EFF" w:rsidRDefault="00687EFF" w:rsidP="008645DF">
      <w:pPr>
        <w:pStyle w:val="Notedebasdepage"/>
        <w:rPr>
          <w:rStyle w:val="Lienhypertexte"/>
        </w:rPr>
      </w:pPr>
      <w:r>
        <w:rPr>
          <w:rStyle w:val="Appelnotedebasdep"/>
        </w:rPr>
        <w:footnoteRef/>
      </w:r>
      <w:r>
        <w:t xml:space="preserve"> </w:t>
      </w:r>
      <w:r w:rsidR="00EE1B1E">
        <w:fldChar w:fldCharType="begin"/>
      </w:r>
      <w:r>
        <w:instrText xml:space="preserve"> HYPERLINK "https://www.anses.fr/fr/content/radiofrequences-cancers-consultation-publique-projet-rapport-dexpertise" </w:instrText>
      </w:r>
      <w:r w:rsidR="00EE1B1E">
        <w:fldChar w:fldCharType="separate"/>
      </w:r>
      <w:r>
        <w:rPr>
          <w:rStyle w:val="Lienhypertexte"/>
        </w:rPr>
        <w:t>« Radiofréquences et cancers » : mise en consultation publique d’un projet de rapport d’expertise | Anses – Agence</w:t>
      </w:r>
    </w:p>
    <w:p w:rsidR="00687EFF" w:rsidRDefault="00687EFF" w:rsidP="008645DF">
      <w:pPr>
        <w:pStyle w:val="Notedebasdepage"/>
      </w:pPr>
      <w:r>
        <w:rPr>
          <w:rStyle w:val="Lienhypertexte"/>
        </w:rPr>
        <w:t>nationale de sécurité sanitaire de l’alimentation, de l’environnement et du travail</w:t>
      </w:r>
      <w:r w:rsidR="00EE1B1E">
        <w:fldChar w:fldCharType="end"/>
      </w:r>
      <w:r>
        <w:t>, p.83-84</w:t>
      </w:r>
    </w:p>
  </w:footnote>
  <w:footnote w:id="114">
    <w:p w:rsidR="00687EFF" w:rsidRDefault="00687EFF" w:rsidP="008645DF">
      <w:pPr>
        <w:pStyle w:val="Notedebasdepage"/>
        <w:ind w:left="0" w:firstLine="0"/>
      </w:pPr>
      <w:r>
        <w:rPr>
          <w:rStyle w:val="Appelnotedebasdep"/>
        </w:rPr>
        <w:footnoteRef/>
      </w:r>
      <w:r>
        <w:t xml:space="preserve"> « Immédiatement après exposition, les résultats montrent une augmentation significative de la fréquence des aberrations chromosomiques (CA), et des micronoyaux (MN) chez les rats exposés, juvéniles ou matures, avec une fréquence plus élevée chez les animaux jeunes. Le type de lésion d’ADN le plus retrouvé est la fragmentation des brins. Chez les rats juvéniles, la période de récupération diminue la formation de CA et de MN. L’index mitotique (IM) et le rapport des érythrocytes polychromatiques (PCEs) sont significativement diminués chez les rats exposés (matures et immatures) et restent bas même après la période de récupération. Les auteurs concluent sur la nécessité d’études complémentaires pour comprendre les effets des radiofréquences sur l’ADN et les mécanismes de réparation et pour déterminer les limites d’exposition environnementale, en particulier pour les enfants. » extrait du pré-rapport</w:t>
      </w:r>
    </w:p>
  </w:footnote>
  <w:footnote w:id="115">
    <w:p w:rsidR="00687EFF" w:rsidRDefault="00687EFF" w:rsidP="008645DF">
      <w:pPr>
        <w:pStyle w:val="Notedebasdepage"/>
      </w:pPr>
      <w:r>
        <w:rPr>
          <w:rStyle w:val="Appelnotedebasdep"/>
        </w:rPr>
        <w:footnoteRef/>
      </w:r>
      <w:r>
        <w:t xml:space="preserve"> </w:t>
      </w:r>
      <w:r w:rsidRPr="00041E35">
        <w:t>https://www.urologie.chu-lille.fr/maladies-urologiques/cancerologie/le-cancer-du-testicule/</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748A4206"/>
    <w:lvl w:ilvl="0">
      <w:start w:val="1"/>
      <w:numFmt w:val="bullet"/>
      <w:pStyle w:val="Listepuces"/>
      <w:lvlText w:val=""/>
      <w:lvlJc w:val="left"/>
      <w:pPr>
        <w:tabs>
          <w:tab w:val="num" w:pos="360"/>
        </w:tabs>
        <w:ind w:left="360" w:hanging="360"/>
      </w:pPr>
      <w:rPr>
        <w:rFonts w:ascii="Symbol" w:hAnsi="Symbol" w:hint="default"/>
      </w:rPr>
    </w:lvl>
  </w:abstractNum>
  <w:abstractNum w:abstractNumId="1">
    <w:nsid w:val="07DD5DAB"/>
    <w:multiLevelType w:val="hybridMultilevel"/>
    <w:tmpl w:val="50A8C692"/>
    <w:lvl w:ilvl="0" w:tplc="1BBA2F30">
      <w:numFmt w:val="bullet"/>
      <w:lvlText w:val="-"/>
      <w:lvlJc w:val="left"/>
      <w:pPr>
        <w:ind w:left="1429" w:hanging="360"/>
      </w:pPr>
      <w:rPr>
        <w:rFonts w:ascii="Calibri" w:eastAsiaTheme="minorHAnsi" w:hAnsi="Calibri" w:cs="Calibri"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
    <w:nsid w:val="0AB03687"/>
    <w:multiLevelType w:val="hybridMultilevel"/>
    <w:tmpl w:val="4B8CA272"/>
    <w:lvl w:ilvl="0" w:tplc="7646D420">
      <w:start w:val="1"/>
      <w:numFmt w:val="lowerRoman"/>
      <w:lvlText w:val="%1."/>
      <w:lvlJc w:val="left"/>
      <w:pPr>
        <w:ind w:left="2136" w:hanging="72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3">
    <w:nsid w:val="0B770012"/>
    <w:multiLevelType w:val="hybridMultilevel"/>
    <w:tmpl w:val="3E50EC86"/>
    <w:lvl w:ilvl="0" w:tplc="040C0019">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
    <w:nsid w:val="0EFB752F"/>
    <w:multiLevelType w:val="hybridMultilevel"/>
    <w:tmpl w:val="83282E9E"/>
    <w:lvl w:ilvl="0" w:tplc="001EE556">
      <w:start w:val="1"/>
      <w:numFmt w:val="upperRoman"/>
      <w:lvlText w:val="%1."/>
      <w:lvlJc w:val="left"/>
      <w:pPr>
        <w:ind w:left="1080" w:hanging="720"/>
      </w:pPr>
      <w:rPr>
        <w:rFonts w:hint="default"/>
      </w:rPr>
    </w:lvl>
    <w:lvl w:ilvl="1" w:tplc="D9DC53E8">
      <w:start w:val="1"/>
      <w:numFmt w:val="lowerLetter"/>
      <w:lvlText w:val="%2."/>
      <w:lvlJc w:val="left"/>
      <w:pPr>
        <w:ind w:left="1440" w:hanging="360"/>
      </w:pPr>
      <w:rPr>
        <w:rFonts w:ascii="Arial" w:eastAsiaTheme="minorHAnsi" w:hAnsi="Arial" w:cs="Arial"/>
      </w:r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0A54952"/>
    <w:multiLevelType w:val="multilevel"/>
    <w:tmpl w:val="0AFA6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1CB45BF"/>
    <w:multiLevelType w:val="multilevel"/>
    <w:tmpl w:val="F4FCF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35617B"/>
    <w:multiLevelType w:val="hybridMultilevel"/>
    <w:tmpl w:val="12F6ADCE"/>
    <w:lvl w:ilvl="0" w:tplc="1BBA2F30">
      <w:numFmt w:val="bullet"/>
      <w:lvlText w:val="-"/>
      <w:lvlJc w:val="left"/>
      <w:pPr>
        <w:ind w:left="1428" w:hanging="360"/>
      </w:pPr>
      <w:rPr>
        <w:rFonts w:ascii="Calibri" w:eastAsiaTheme="minorHAnsi" w:hAnsi="Calibri" w:cs="Calibri"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
    <w:nsid w:val="170A17E1"/>
    <w:multiLevelType w:val="hybridMultilevel"/>
    <w:tmpl w:val="19A63C5E"/>
    <w:lvl w:ilvl="0" w:tplc="9C3413CE">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B2F7D47"/>
    <w:multiLevelType w:val="hybridMultilevel"/>
    <w:tmpl w:val="BC80FE4A"/>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0">
    <w:nsid w:val="1D934A82"/>
    <w:multiLevelType w:val="hybridMultilevel"/>
    <w:tmpl w:val="448E8C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EBB12F7"/>
    <w:multiLevelType w:val="hybridMultilevel"/>
    <w:tmpl w:val="787822D6"/>
    <w:lvl w:ilvl="0" w:tplc="AC6072DA">
      <w:start w:val="1"/>
      <w:numFmt w:val="lowerLetter"/>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12">
    <w:nsid w:val="1EEB45B7"/>
    <w:multiLevelType w:val="hybridMultilevel"/>
    <w:tmpl w:val="612658D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FA537C8"/>
    <w:multiLevelType w:val="hybridMultilevel"/>
    <w:tmpl w:val="AABA3C40"/>
    <w:lvl w:ilvl="0" w:tplc="7DACA53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91556A0"/>
    <w:multiLevelType w:val="hybridMultilevel"/>
    <w:tmpl w:val="F030F5E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302C4EE1"/>
    <w:multiLevelType w:val="multilevel"/>
    <w:tmpl w:val="8F8A1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182777A"/>
    <w:multiLevelType w:val="hybridMultilevel"/>
    <w:tmpl w:val="A3D8292E"/>
    <w:lvl w:ilvl="0" w:tplc="5F48C11A">
      <w:start w:val="2"/>
      <w:numFmt w:val="bullet"/>
      <w:lvlText w:val="-"/>
      <w:lvlJc w:val="left"/>
      <w:pPr>
        <w:ind w:left="1080" w:hanging="360"/>
      </w:pPr>
      <w:rPr>
        <w:rFonts w:ascii="Arial" w:eastAsiaTheme="minorHAnsi" w:hAnsi="Arial" w:cs="Aria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
    <w:nsid w:val="32EB2E5D"/>
    <w:multiLevelType w:val="multilevel"/>
    <w:tmpl w:val="DADE038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56A6743"/>
    <w:multiLevelType w:val="hybridMultilevel"/>
    <w:tmpl w:val="08702252"/>
    <w:lvl w:ilvl="0" w:tplc="D8AA7AFE">
      <w:start w:val="1"/>
      <w:numFmt w:val="bullet"/>
      <w:lvlText w:val="-"/>
      <w:lvlJc w:val="left"/>
      <w:pPr>
        <w:ind w:left="1440" w:hanging="360"/>
      </w:pPr>
      <w:rPr>
        <w:rFonts w:ascii="Arial" w:eastAsiaTheme="minorHAnsi" w:hAnsi="Arial" w:cs="Aria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9">
    <w:nsid w:val="35CC212A"/>
    <w:multiLevelType w:val="multilevel"/>
    <w:tmpl w:val="05669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AF75BB8"/>
    <w:multiLevelType w:val="hybridMultilevel"/>
    <w:tmpl w:val="CD2ED4BC"/>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1">
    <w:nsid w:val="407804AE"/>
    <w:multiLevelType w:val="hybridMultilevel"/>
    <w:tmpl w:val="8A3C8FF0"/>
    <w:lvl w:ilvl="0" w:tplc="6E040080">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43292F94"/>
    <w:multiLevelType w:val="multilevel"/>
    <w:tmpl w:val="F93E7C68"/>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9B61188"/>
    <w:multiLevelType w:val="hybridMultilevel"/>
    <w:tmpl w:val="C92AE08E"/>
    <w:lvl w:ilvl="0" w:tplc="1BBA2F30">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4">
    <w:nsid w:val="4D4477F7"/>
    <w:multiLevelType w:val="hybridMultilevel"/>
    <w:tmpl w:val="7BA4A8D0"/>
    <w:lvl w:ilvl="0" w:tplc="13F283B0">
      <w:start w:val="1"/>
      <w:numFmt w:val="lowerRoman"/>
      <w:lvlText w:val="%1."/>
      <w:lvlJc w:val="left"/>
      <w:pPr>
        <w:ind w:left="1080" w:hanging="720"/>
      </w:pPr>
      <w:rPr>
        <w:rFonts w:eastAsiaTheme="minorHAns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509C2D85"/>
    <w:multiLevelType w:val="hybridMultilevel"/>
    <w:tmpl w:val="61AC5F24"/>
    <w:lvl w:ilvl="0" w:tplc="0A2CA854">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516B30FC"/>
    <w:multiLevelType w:val="hybridMultilevel"/>
    <w:tmpl w:val="52B4480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55FC6D99"/>
    <w:multiLevelType w:val="hybridMultilevel"/>
    <w:tmpl w:val="81B2F538"/>
    <w:lvl w:ilvl="0" w:tplc="D67E389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6AB33130"/>
    <w:multiLevelType w:val="hybridMultilevel"/>
    <w:tmpl w:val="68C82FF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6B5C6DC1"/>
    <w:multiLevelType w:val="hybridMultilevel"/>
    <w:tmpl w:val="D74AB776"/>
    <w:lvl w:ilvl="0" w:tplc="B7B8A47C">
      <w:start w:val="100"/>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701B0FCD"/>
    <w:multiLevelType w:val="hybridMultilevel"/>
    <w:tmpl w:val="BF4658B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74F772C3"/>
    <w:multiLevelType w:val="hybridMultilevel"/>
    <w:tmpl w:val="72B4DAA4"/>
    <w:lvl w:ilvl="0" w:tplc="6B5626EC">
      <w:start w:val="1"/>
      <w:numFmt w:val="decimal"/>
      <w:lvlText w:val="%1."/>
      <w:lvlJc w:val="left"/>
      <w:pPr>
        <w:ind w:left="720" w:hanging="360"/>
      </w:pPr>
      <w:rPr>
        <w:rFonts w:asciiTheme="minorHAnsi" w:hAnsiTheme="minorHAnsi" w:cstheme="minorBidi" w:hint="default"/>
        <w:b/>
        <w:i w:val="0"/>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75825614"/>
    <w:multiLevelType w:val="hybridMultilevel"/>
    <w:tmpl w:val="2B12B5F4"/>
    <w:lvl w:ilvl="0" w:tplc="1BBA2F3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9D36270"/>
    <w:multiLevelType w:val="multilevel"/>
    <w:tmpl w:val="56706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2"/>
  </w:num>
  <w:num w:numId="3">
    <w:abstractNumId w:val="14"/>
  </w:num>
  <w:num w:numId="4">
    <w:abstractNumId w:val="28"/>
  </w:num>
  <w:num w:numId="5">
    <w:abstractNumId w:val="30"/>
  </w:num>
  <w:num w:numId="6">
    <w:abstractNumId w:val="24"/>
  </w:num>
  <w:num w:numId="7">
    <w:abstractNumId w:val="27"/>
  </w:num>
  <w:num w:numId="8">
    <w:abstractNumId w:val="18"/>
  </w:num>
  <w:num w:numId="9">
    <w:abstractNumId w:val="3"/>
  </w:num>
  <w:num w:numId="10">
    <w:abstractNumId w:val="7"/>
  </w:num>
  <w:num w:numId="11">
    <w:abstractNumId w:val="2"/>
  </w:num>
  <w:num w:numId="12">
    <w:abstractNumId w:val="20"/>
  </w:num>
  <w:num w:numId="13">
    <w:abstractNumId w:val="32"/>
  </w:num>
  <w:num w:numId="14">
    <w:abstractNumId w:val="9"/>
  </w:num>
  <w:num w:numId="15">
    <w:abstractNumId w:val="1"/>
  </w:num>
  <w:num w:numId="16">
    <w:abstractNumId w:val="11"/>
  </w:num>
  <w:num w:numId="17">
    <w:abstractNumId w:val="25"/>
  </w:num>
  <w:num w:numId="18">
    <w:abstractNumId w:val="26"/>
  </w:num>
  <w:num w:numId="19">
    <w:abstractNumId w:val="8"/>
  </w:num>
  <w:num w:numId="20">
    <w:abstractNumId w:val="31"/>
  </w:num>
  <w:num w:numId="21">
    <w:abstractNumId w:val="21"/>
  </w:num>
  <w:num w:numId="22">
    <w:abstractNumId w:val="29"/>
  </w:num>
  <w:num w:numId="23">
    <w:abstractNumId w:val="0"/>
  </w:num>
  <w:num w:numId="24">
    <w:abstractNumId w:val="10"/>
  </w:num>
  <w:num w:numId="25">
    <w:abstractNumId w:val="16"/>
  </w:num>
  <w:num w:numId="26">
    <w:abstractNumId w:val="23"/>
  </w:num>
  <w:num w:numId="27">
    <w:abstractNumId w:val="17"/>
  </w:num>
  <w:num w:numId="28">
    <w:abstractNumId w:val="6"/>
  </w:num>
  <w:num w:numId="29">
    <w:abstractNumId w:val="19"/>
  </w:num>
  <w:num w:numId="30">
    <w:abstractNumId w:val="15"/>
  </w:num>
  <w:num w:numId="31">
    <w:abstractNumId w:val="5"/>
  </w:num>
  <w:num w:numId="32">
    <w:abstractNumId w:val="33"/>
  </w:num>
  <w:num w:numId="33">
    <w:abstractNumId w:val="22"/>
  </w:num>
  <w:num w:numId="34">
    <w:abstractNumId w:val="4"/>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hideSpellingErrors/>
  <w:defaultTabStop w:val="708"/>
  <w:hyphenationZone w:val="425"/>
  <w:characterSpacingControl w:val="doNotCompress"/>
  <w:footnotePr>
    <w:footnote w:id="0"/>
    <w:footnote w:id="1"/>
  </w:footnotePr>
  <w:endnotePr>
    <w:endnote w:id="0"/>
    <w:endnote w:id="1"/>
  </w:endnotePr>
  <w:compat/>
  <w:rsids>
    <w:rsidRoot w:val="00894F44"/>
    <w:rsid w:val="000076FA"/>
    <w:rsid w:val="000129CB"/>
    <w:rsid w:val="00014CF6"/>
    <w:rsid w:val="00015BB9"/>
    <w:rsid w:val="00017026"/>
    <w:rsid w:val="000172AE"/>
    <w:rsid w:val="00017FCC"/>
    <w:rsid w:val="00021B32"/>
    <w:rsid w:val="000238ED"/>
    <w:rsid w:val="000245B9"/>
    <w:rsid w:val="0002578D"/>
    <w:rsid w:val="000257BC"/>
    <w:rsid w:val="00030826"/>
    <w:rsid w:val="00033F60"/>
    <w:rsid w:val="000351BC"/>
    <w:rsid w:val="0003534D"/>
    <w:rsid w:val="00035EB6"/>
    <w:rsid w:val="00036230"/>
    <w:rsid w:val="00036BF3"/>
    <w:rsid w:val="000372F4"/>
    <w:rsid w:val="00037F87"/>
    <w:rsid w:val="0004176A"/>
    <w:rsid w:val="00041F2D"/>
    <w:rsid w:val="000425BC"/>
    <w:rsid w:val="000426F6"/>
    <w:rsid w:val="00046599"/>
    <w:rsid w:val="00046AE3"/>
    <w:rsid w:val="00047B42"/>
    <w:rsid w:val="00051D23"/>
    <w:rsid w:val="00052289"/>
    <w:rsid w:val="00053F81"/>
    <w:rsid w:val="0005559F"/>
    <w:rsid w:val="000603C9"/>
    <w:rsid w:val="0006082F"/>
    <w:rsid w:val="00061EC1"/>
    <w:rsid w:val="000646DD"/>
    <w:rsid w:val="00064DD3"/>
    <w:rsid w:val="00065323"/>
    <w:rsid w:val="0006546C"/>
    <w:rsid w:val="00066393"/>
    <w:rsid w:val="00066394"/>
    <w:rsid w:val="0007003F"/>
    <w:rsid w:val="00072DAF"/>
    <w:rsid w:val="00073E2A"/>
    <w:rsid w:val="00073E4F"/>
    <w:rsid w:val="000746C2"/>
    <w:rsid w:val="00074B6A"/>
    <w:rsid w:val="0007705B"/>
    <w:rsid w:val="0007789A"/>
    <w:rsid w:val="000833D9"/>
    <w:rsid w:val="000850A1"/>
    <w:rsid w:val="00085160"/>
    <w:rsid w:val="00086804"/>
    <w:rsid w:val="000868A9"/>
    <w:rsid w:val="000876BA"/>
    <w:rsid w:val="00090339"/>
    <w:rsid w:val="00091B48"/>
    <w:rsid w:val="00092F7A"/>
    <w:rsid w:val="00094EF5"/>
    <w:rsid w:val="000970F0"/>
    <w:rsid w:val="000A2374"/>
    <w:rsid w:val="000A40F4"/>
    <w:rsid w:val="000A5C3F"/>
    <w:rsid w:val="000A7182"/>
    <w:rsid w:val="000A7647"/>
    <w:rsid w:val="000A78A9"/>
    <w:rsid w:val="000B0DEA"/>
    <w:rsid w:val="000B1565"/>
    <w:rsid w:val="000B2A85"/>
    <w:rsid w:val="000B2F6F"/>
    <w:rsid w:val="000B32A8"/>
    <w:rsid w:val="000B34D1"/>
    <w:rsid w:val="000B6D16"/>
    <w:rsid w:val="000C181C"/>
    <w:rsid w:val="000C36C5"/>
    <w:rsid w:val="000C3CCE"/>
    <w:rsid w:val="000D12AF"/>
    <w:rsid w:val="000D1473"/>
    <w:rsid w:val="000D2B51"/>
    <w:rsid w:val="000D3168"/>
    <w:rsid w:val="000D435F"/>
    <w:rsid w:val="000D5408"/>
    <w:rsid w:val="000D6127"/>
    <w:rsid w:val="000D6173"/>
    <w:rsid w:val="000D6E4A"/>
    <w:rsid w:val="000D71DC"/>
    <w:rsid w:val="000E0C95"/>
    <w:rsid w:val="000E0D9C"/>
    <w:rsid w:val="000E1AD2"/>
    <w:rsid w:val="000E25B2"/>
    <w:rsid w:val="000E2923"/>
    <w:rsid w:val="000E4091"/>
    <w:rsid w:val="000E4DED"/>
    <w:rsid w:val="000E711F"/>
    <w:rsid w:val="000F187D"/>
    <w:rsid w:val="000F43CA"/>
    <w:rsid w:val="000F52F7"/>
    <w:rsid w:val="00100471"/>
    <w:rsid w:val="001004A7"/>
    <w:rsid w:val="00100EFF"/>
    <w:rsid w:val="00100F76"/>
    <w:rsid w:val="001031F2"/>
    <w:rsid w:val="00104AF5"/>
    <w:rsid w:val="00105304"/>
    <w:rsid w:val="00106CDA"/>
    <w:rsid w:val="00110B71"/>
    <w:rsid w:val="001118E7"/>
    <w:rsid w:val="00111BFF"/>
    <w:rsid w:val="001121D0"/>
    <w:rsid w:val="00112906"/>
    <w:rsid w:val="00112BB0"/>
    <w:rsid w:val="00113052"/>
    <w:rsid w:val="001145E9"/>
    <w:rsid w:val="00115A50"/>
    <w:rsid w:val="00116163"/>
    <w:rsid w:val="001178A5"/>
    <w:rsid w:val="00122452"/>
    <w:rsid w:val="001227DC"/>
    <w:rsid w:val="00122C34"/>
    <w:rsid w:val="00123CE0"/>
    <w:rsid w:val="00123FBD"/>
    <w:rsid w:val="00124433"/>
    <w:rsid w:val="0012556F"/>
    <w:rsid w:val="001255B7"/>
    <w:rsid w:val="001270BA"/>
    <w:rsid w:val="00130109"/>
    <w:rsid w:val="001302F6"/>
    <w:rsid w:val="00131D78"/>
    <w:rsid w:val="00134433"/>
    <w:rsid w:val="00134533"/>
    <w:rsid w:val="00135591"/>
    <w:rsid w:val="0013571E"/>
    <w:rsid w:val="00137EF4"/>
    <w:rsid w:val="00142689"/>
    <w:rsid w:val="001426D5"/>
    <w:rsid w:val="00143F3B"/>
    <w:rsid w:val="001450B8"/>
    <w:rsid w:val="00145203"/>
    <w:rsid w:val="00146339"/>
    <w:rsid w:val="00147C6E"/>
    <w:rsid w:val="00150123"/>
    <w:rsid w:val="00152100"/>
    <w:rsid w:val="00152C49"/>
    <w:rsid w:val="00152E83"/>
    <w:rsid w:val="00153537"/>
    <w:rsid w:val="00153C44"/>
    <w:rsid w:val="0015461B"/>
    <w:rsid w:val="00156DDF"/>
    <w:rsid w:val="00165BE2"/>
    <w:rsid w:val="00165CF4"/>
    <w:rsid w:val="001664AE"/>
    <w:rsid w:val="00166BF0"/>
    <w:rsid w:val="00167072"/>
    <w:rsid w:val="0017022D"/>
    <w:rsid w:val="001703F1"/>
    <w:rsid w:val="00171236"/>
    <w:rsid w:val="0017176B"/>
    <w:rsid w:val="00171F02"/>
    <w:rsid w:val="0017412B"/>
    <w:rsid w:val="0017455C"/>
    <w:rsid w:val="00175D14"/>
    <w:rsid w:val="00175EDB"/>
    <w:rsid w:val="001760C3"/>
    <w:rsid w:val="0017645E"/>
    <w:rsid w:val="00177056"/>
    <w:rsid w:val="00177D5A"/>
    <w:rsid w:val="0018182E"/>
    <w:rsid w:val="00184334"/>
    <w:rsid w:val="00184410"/>
    <w:rsid w:val="00185AC8"/>
    <w:rsid w:val="0018655D"/>
    <w:rsid w:val="00186DAF"/>
    <w:rsid w:val="00192290"/>
    <w:rsid w:val="001928AD"/>
    <w:rsid w:val="0019715A"/>
    <w:rsid w:val="001978B1"/>
    <w:rsid w:val="001A0570"/>
    <w:rsid w:val="001A0CFC"/>
    <w:rsid w:val="001A1150"/>
    <w:rsid w:val="001A1377"/>
    <w:rsid w:val="001A229C"/>
    <w:rsid w:val="001A3510"/>
    <w:rsid w:val="001B0790"/>
    <w:rsid w:val="001B1B48"/>
    <w:rsid w:val="001B1D9D"/>
    <w:rsid w:val="001B1EDF"/>
    <w:rsid w:val="001B2791"/>
    <w:rsid w:val="001B27F3"/>
    <w:rsid w:val="001B3D70"/>
    <w:rsid w:val="001B422E"/>
    <w:rsid w:val="001B478C"/>
    <w:rsid w:val="001B7C6F"/>
    <w:rsid w:val="001C0A48"/>
    <w:rsid w:val="001C13EF"/>
    <w:rsid w:val="001C190F"/>
    <w:rsid w:val="001C1E6C"/>
    <w:rsid w:val="001C29F4"/>
    <w:rsid w:val="001C3061"/>
    <w:rsid w:val="001C3855"/>
    <w:rsid w:val="001C410C"/>
    <w:rsid w:val="001D00FE"/>
    <w:rsid w:val="001D03A4"/>
    <w:rsid w:val="001D0BBA"/>
    <w:rsid w:val="001D4568"/>
    <w:rsid w:val="001D77C7"/>
    <w:rsid w:val="001E16A8"/>
    <w:rsid w:val="001E250A"/>
    <w:rsid w:val="001E5248"/>
    <w:rsid w:val="001E6F02"/>
    <w:rsid w:val="001F0AB3"/>
    <w:rsid w:val="001F11A2"/>
    <w:rsid w:val="001F2CF2"/>
    <w:rsid w:val="001F2ECC"/>
    <w:rsid w:val="001F5751"/>
    <w:rsid w:val="001F592A"/>
    <w:rsid w:val="001F6AAE"/>
    <w:rsid w:val="001F745D"/>
    <w:rsid w:val="001F7BDE"/>
    <w:rsid w:val="001F7F16"/>
    <w:rsid w:val="002002EA"/>
    <w:rsid w:val="002003ED"/>
    <w:rsid w:val="00200C20"/>
    <w:rsid w:val="002023D9"/>
    <w:rsid w:val="00206896"/>
    <w:rsid w:val="00206CD8"/>
    <w:rsid w:val="0021171F"/>
    <w:rsid w:val="00211A7F"/>
    <w:rsid w:val="0021212C"/>
    <w:rsid w:val="00212336"/>
    <w:rsid w:val="00215741"/>
    <w:rsid w:val="00216A69"/>
    <w:rsid w:val="00220108"/>
    <w:rsid w:val="00220A77"/>
    <w:rsid w:val="00223823"/>
    <w:rsid w:val="0022518A"/>
    <w:rsid w:val="0022673D"/>
    <w:rsid w:val="002276F6"/>
    <w:rsid w:val="00231CC3"/>
    <w:rsid w:val="0023389A"/>
    <w:rsid w:val="002347C9"/>
    <w:rsid w:val="0024223A"/>
    <w:rsid w:val="00242AD2"/>
    <w:rsid w:val="00244859"/>
    <w:rsid w:val="00246117"/>
    <w:rsid w:val="00246D34"/>
    <w:rsid w:val="0024765C"/>
    <w:rsid w:val="00251EF0"/>
    <w:rsid w:val="0025213A"/>
    <w:rsid w:val="00253F77"/>
    <w:rsid w:val="002541C8"/>
    <w:rsid w:val="00254C1A"/>
    <w:rsid w:val="002577DD"/>
    <w:rsid w:val="002605A5"/>
    <w:rsid w:val="00260E1B"/>
    <w:rsid w:val="00263648"/>
    <w:rsid w:val="00264BAD"/>
    <w:rsid w:val="002670C9"/>
    <w:rsid w:val="00267661"/>
    <w:rsid w:val="00267D1C"/>
    <w:rsid w:val="002719BD"/>
    <w:rsid w:val="00272131"/>
    <w:rsid w:val="0027336D"/>
    <w:rsid w:val="00274690"/>
    <w:rsid w:val="0027506F"/>
    <w:rsid w:val="002753FC"/>
    <w:rsid w:val="00276BC8"/>
    <w:rsid w:val="00276D92"/>
    <w:rsid w:val="00283151"/>
    <w:rsid w:val="002834E7"/>
    <w:rsid w:val="00284AD0"/>
    <w:rsid w:val="00285EC3"/>
    <w:rsid w:val="002877C8"/>
    <w:rsid w:val="00290023"/>
    <w:rsid w:val="00293FCB"/>
    <w:rsid w:val="00294772"/>
    <w:rsid w:val="00295152"/>
    <w:rsid w:val="00295429"/>
    <w:rsid w:val="00295470"/>
    <w:rsid w:val="002A03D4"/>
    <w:rsid w:val="002A41DE"/>
    <w:rsid w:val="002A45B4"/>
    <w:rsid w:val="002A55DB"/>
    <w:rsid w:val="002A6BBC"/>
    <w:rsid w:val="002A7EB7"/>
    <w:rsid w:val="002B02BA"/>
    <w:rsid w:val="002B333E"/>
    <w:rsid w:val="002B4BCE"/>
    <w:rsid w:val="002B4FC3"/>
    <w:rsid w:val="002B535A"/>
    <w:rsid w:val="002B7BEC"/>
    <w:rsid w:val="002B7C80"/>
    <w:rsid w:val="002C0BA4"/>
    <w:rsid w:val="002C198C"/>
    <w:rsid w:val="002C38D7"/>
    <w:rsid w:val="002C3AB4"/>
    <w:rsid w:val="002C44AD"/>
    <w:rsid w:val="002C6A4A"/>
    <w:rsid w:val="002C7E14"/>
    <w:rsid w:val="002D08C8"/>
    <w:rsid w:val="002D1897"/>
    <w:rsid w:val="002D1A7A"/>
    <w:rsid w:val="002D1A99"/>
    <w:rsid w:val="002D42B0"/>
    <w:rsid w:val="002D6631"/>
    <w:rsid w:val="002D6886"/>
    <w:rsid w:val="002D6E15"/>
    <w:rsid w:val="002D7684"/>
    <w:rsid w:val="002D7BD3"/>
    <w:rsid w:val="002E0A54"/>
    <w:rsid w:val="002E103D"/>
    <w:rsid w:val="002E1CDF"/>
    <w:rsid w:val="002E5718"/>
    <w:rsid w:val="002E6A39"/>
    <w:rsid w:val="002E6E3E"/>
    <w:rsid w:val="002E7412"/>
    <w:rsid w:val="002F3904"/>
    <w:rsid w:val="002F5550"/>
    <w:rsid w:val="002F6705"/>
    <w:rsid w:val="00300F74"/>
    <w:rsid w:val="003010BC"/>
    <w:rsid w:val="0030118C"/>
    <w:rsid w:val="0030267F"/>
    <w:rsid w:val="00304946"/>
    <w:rsid w:val="00304A59"/>
    <w:rsid w:val="00305507"/>
    <w:rsid w:val="00307410"/>
    <w:rsid w:val="00310794"/>
    <w:rsid w:val="00310DFA"/>
    <w:rsid w:val="00311690"/>
    <w:rsid w:val="0031215B"/>
    <w:rsid w:val="0031342B"/>
    <w:rsid w:val="00313C81"/>
    <w:rsid w:val="0031614F"/>
    <w:rsid w:val="003210ED"/>
    <w:rsid w:val="00324826"/>
    <w:rsid w:val="00324A98"/>
    <w:rsid w:val="00326183"/>
    <w:rsid w:val="00327290"/>
    <w:rsid w:val="003303C8"/>
    <w:rsid w:val="003306FB"/>
    <w:rsid w:val="00332019"/>
    <w:rsid w:val="0033228D"/>
    <w:rsid w:val="003342E1"/>
    <w:rsid w:val="00334727"/>
    <w:rsid w:val="00335F3C"/>
    <w:rsid w:val="0033775A"/>
    <w:rsid w:val="00341BF1"/>
    <w:rsid w:val="00344636"/>
    <w:rsid w:val="0034501A"/>
    <w:rsid w:val="00346BE3"/>
    <w:rsid w:val="003477D2"/>
    <w:rsid w:val="003478DC"/>
    <w:rsid w:val="003502AA"/>
    <w:rsid w:val="00353120"/>
    <w:rsid w:val="003563E3"/>
    <w:rsid w:val="0036093A"/>
    <w:rsid w:val="003609A1"/>
    <w:rsid w:val="003619C4"/>
    <w:rsid w:val="00363F2A"/>
    <w:rsid w:val="003646C2"/>
    <w:rsid w:val="00365D1D"/>
    <w:rsid w:val="00367C86"/>
    <w:rsid w:val="00371509"/>
    <w:rsid w:val="00375169"/>
    <w:rsid w:val="00375D3E"/>
    <w:rsid w:val="00377594"/>
    <w:rsid w:val="00377D9A"/>
    <w:rsid w:val="00381812"/>
    <w:rsid w:val="00382028"/>
    <w:rsid w:val="0038287B"/>
    <w:rsid w:val="00385A24"/>
    <w:rsid w:val="003861B7"/>
    <w:rsid w:val="0038670D"/>
    <w:rsid w:val="00387330"/>
    <w:rsid w:val="00387799"/>
    <w:rsid w:val="00390509"/>
    <w:rsid w:val="003913C1"/>
    <w:rsid w:val="00394129"/>
    <w:rsid w:val="00394AA2"/>
    <w:rsid w:val="003963FF"/>
    <w:rsid w:val="00396937"/>
    <w:rsid w:val="003A1B19"/>
    <w:rsid w:val="003A6FA2"/>
    <w:rsid w:val="003B0231"/>
    <w:rsid w:val="003B112D"/>
    <w:rsid w:val="003B1389"/>
    <w:rsid w:val="003B22C3"/>
    <w:rsid w:val="003B24A3"/>
    <w:rsid w:val="003B35D4"/>
    <w:rsid w:val="003B4B2D"/>
    <w:rsid w:val="003B548D"/>
    <w:rsid w:val="003C13F1"/>
    <w:rsid w:val="003C62CF"/>
    <w:rsid w:val="003C62F9"/>
    <w:rsid w:val="003C7A10"/>
    <w:rsid w:val="003C7B3F"/>
    <w:rsid w:val="003C7D8B"/>
    <w:rsid w:val="003C7FAF"/>
    <w:rsid w:val="003D0A65"/>
    <w:rsid w:val="003D4569"/>
    <w:rsid w:val="003D461D"/>
    <w:rsid w:val="003D6C9F"/>
    <w:rsid w:val="003D7825"/>
    <w:rsid w:val="003E4439"/>
    <w:rsid w:val="003E461A"/>
    <w:rsid w:val="003E4CBA"/>
    <w:rsid w:val="003E6920"/>
    <w:rsid w:val="003E7DD0"/>
    <w:rsid w:val="003F2599"/>
    <w:rsid w:val="003F28F0"/>
    <w:rsid w:val="003F547F"/>
    <w:rsid w:val="003F57A2"/>
    <w:rsid w:val="003F6188"/>
    <w:rsid w:val="003F7761"/>
    <w:rsid w:val="00400211"/>
    <w:rsid w:val="004004D6"/>
    <w:rsid w:val="00400987"/>
    <w:rsid w:val="004030F0"/>
    <w:rsid w:val="00405864"/>
    <w:rsid w:val="0040756A"/>
    <w:rsid w:val="00407DF6"/>
    <w:rsid w:val="00410966"/>
    <w:rsid w:val="00412D53"/>
    <w:rsid w:val="00417F84"/>
    <w:rsid w:val="0042024B"/>
    <w:rsid w:val="00420ABC"/>
    <w:rsid w:val="00422B42"/>
    <w:rsid w:val="00424E38"/>
    <w:rsid w:val="0042567D"/>
    <w:rsid w:val="00425E69"/>
    <w:rsid w:val="004260BF"/>
    <w:rsid w:val="0043302D"/>
    <w:rsid w:val="0043484B"/>
    <w:rsid w:val="004356E0"/>
    <w:rsid w:val="00436058"/>
    <w:rsid w:val="004427B8"/>
    <w:rsid w:val="004428AB"/>
    <w:rsid w:val="00446352"/>
    <w:rsid w:val="0045212C"/>
    <w:rsid w:val="004548E8"/>
    <w:rsid w:val="004554F2"/>
    <w:rsid w:val="00456C77"/>
    <w:rsid w:val="00457BC2"/>
    <w:rsid w:val="004606CB"/>
    <w:rsid w:val="00461B7B"/>
    <w:rsid w:val="00462C0B"/>
    <w:rsid w:val="004638C7"/>
    <w:rsid w:val="00465201"/>
    <w:rsid w:val="004655ED"/>
    <w:rsid w:val="00465D65"/>
    <w:rsid w:val="00466981"/>
    <w:rsid w:val="00471759"/>
    <w:rsid w:val="00472482"/>
    <w:rsid w:val="004731FD"/>
    <w:rsid w:val="00473EBD"/>
    <w:rsid w:val="00475C84"/>
    <w:rsid w:val="00477214"/>
    <w:rsid w:val="00477802"/>
    <w:rsid w:val="004801ED"/>
    <w:rsid w:val="0048153C"/>
    <w:rsid w:val="00483275"/>
    <w:rsid w:val="00484EF5"/>
    <w:rsid w:val="004851FF"/>
    <w:rsid w:val="00485791"/>
    <w:rsid w:val="004905B0"/>
    <w:rsid w:val="004926E3"/>
    <w:rsid w:val="00492A48"/>
    <w:rsid w:val="004938D7"/>
    <w:rsid w:val="00493DA9"/>
    <w:rsid w:val="00494682"/>
    <w:rsid w:val="00495391"/>
    <w:rsid w:val="00497153"/>
    <w:rsid w:val="00497BEF"/>
    <w:rsid w:val="004A0132"/>
    <w:rsid w:val="004A0B78"/>
    <w:rsid w:val="004A1E5A"/>
    <w:rsid w:val="004A34B7"/>
    <w:rsid w:val="004A411E"/>
    <w:rsid w:val="004A4AD8"/>
    <w:rsid w:val="004A5023"/>
    <w:rsid w:val="004A66F7"/>
    <w:rsid w:val="004A77DD"/>
    <w:rsid w:val="004A7C97"/>
    <w:rsid w:val="004B1A9E"/>
    <w:rsid w:val="004B36E0"/>
    <w:rsid w:val="004B59FF"/>
    <w:rsid w:val="004B6E17"/>
    <w:rsid w:val="004B70B5"/>
    <w:rsid w:val="004B7177"/>
    <w:rsid w:val="004C0983"/>
    <w:rsid w:val="004C1FD3"/>
    <w:rsid w:val="004C2FC6"/>
    <w:rsid w:val="004C70D5"/>
    <w:rsid w:val="004C7786"/>
    <w:rsid w:val="004D2CAC"/>
    <w:rsid w:val="004D3686"/>
    <w:rsid w:val="004D3FAD"/>
    <w:rsid w:val="004D5735"/>
    <w:rsid w:val="004E03DD"/>
    <w:rsid w:val="004E14BE"/>
    <w:rsid w:val="004E1664"/>
    <w:rsid w:val="004E3BCB"/>
    <w:rsid w:val="004E669B"/>
    <w:rsid w:val="004E6965"/>
    <w:rsid w:val="004F10C2"/>
    <w:rsid w:val="004F129E"/>
    <w:rsid w:val="004F2DF0"/>
    <w:rsid w:val="004F4246"/>
    <w:rsid w:val="004F6C7F"/>
    <w:rsid w:val="004F74B9"/>
    <w:rsid w:val="004F7CE9"/>
    <w:rsid w:val="00500103"/>
    <w:rsid w:val="00504E80"/>
    <w:rsid w:val="005057A9"/>
    <w:rsid w:val="00511C13"/>
    <w:rsid w:val="005124BD"/>
    <w:rsid w:val="0051401B"/>
    <w:rsid w:val="00514B83"/>
    <w:rsid w:val="005154D8"/>
    <w:rsid w:val="00516E00"/>
    <w:rsid w:val="005172EA"/>
    <w:rsid w:val="00517672"/>
    <w:rsid w:val="00520762"/>
    <w:rsid w:val="00522B56"/>
    <w:rsid w:val="00522EF6"/>
    <w:rsid w:val="0052414E"/>
    <w:rsid w:val="00524182"/>
    <w:rsid w:val="005250C9"/>
    <w:rsid w:val="00530EA8"/>
    <w:rsid w:val="00534875"/>
    <w:rsid w:val="00536701"/>
    <w:rsid w:val="005419DB"/>
    <w:rsid w:val="0054263B"/>
    <w:rsid w:val="00543168"/>
    <w:rsid w:val="005450E3"/>
    <w:rsid w:val="00545973"/>
    <w:rsid w:val="0054646B"/>
    <w:rsid w:val="005479B9"/>
    <w:rsid w:val="005515B2"/>
    <w:rsid w:val="00552BBA"/>
    <w:rsid w:val="0055327A"/>
    <w:rsid w:val="00553BD1"/>
    <w:rsid w:val="005544D9"/>
    <w:rsid w:val="00554BF3"/>
    <w:rsid w:val="0055560C"/>
    <w:rsid w:val="00557AD3"/>
    <w:rsid w:val="00561454"/>
    <w:rsid w:val="00562F7A"/>
    <w:rsid w:val="00563FA8"/>
    <w:rsid w:val="005657DF"/>
    <w:rsid w:val="00565B77"/>
    <w:rsid w:val="00566C0D"/>
    <w:rsid w:val="005673BE"/>
    <w:rsid w:val="00571C0B"/>
    <w:rsid w:val="005725FF"/>
    <w:rsid w:val="005732BB"/>
    <w:rsid w:val="005762AE"/>
    <w:rsid w:val="005765FB"/>
    <w:rsid w:val="00577327"/>
    <w:rsid w:val="00577EA3"/>
    <w:rsid w:val="00581C5D"/>
    <w:rsid w:val="00581F06"/>
    <w:rsid w:val="00582402"/>
    <w:rsid w:val="00582EF4"/>
    <w:rsid w:val="0058537D"/>
    <w:rsid w:val="00586B2A"/>
    <w:rsid w:val="0059074F"/>
    <w:rsid w:val="005934F5"/>
    <w:rsid w:val="005935A4"/>
    <w:rsid w:val="00594B4E"/>
    <w:rsid w:val="005956FB"/>
    <w:rsid w:val="00596FD6"/>
    <w:rsid w:val="005970CE"/>
    <w:rsid w:val="005973A8"/>
    <w:rsid w:val="005A2CCF"/>
    <w:rsid w:val="005A438D"/>
    <w:rsid w:val="005A6021"/>
    <w:rsid w:val="005A61D0"/>
    <w:rsid w:val="005A70B0"/>
    <w:rsid w:val="005B17FF"/>
    <w:rsid w:val="005B1DBD"/>
    <w:rsid w:val="005B2720"/>
    <w:rsid w:val="005B3D56"/>
    <w:rsid w:val="005B3FC4"/>
    <w:rsid w:val="005B5C77"/>
    <w:rsid w:val="005B6DE3"/>
    <w:rsid w:val="005B75C5"/>
    <w:rsid w:val="005C1B41"/>
    <w:rsid w:val="005C2C44"/>
    <w:rsid w:val="005C2CE1"/>
    <w:rsid w:val="005C771C"/>
    <w:rsid w:val="005D03BC"/>
    <w:rsid w:val="005D04EA"/>
    <w:rsid w:val="005D08C7"/>
    <w:rsid w:val="005D0A89"/>
    <w:rsid w:val="005D133E"/>
    <w:rsid w:val="005D14E7"/>
    <w:rsid w:val="005D297D"/>
    <w:rsid w:val="005D2C72"/>
    <w:rsid w:val="005D5205"/>
    <w:rsid w:val="005D7B1A"/>
    <w:rsid w:val="005E0064"/>
    <w:rsid w:val="005E057B"/>
    <w:rsid w:val="005E0BE6"/>
    <w:rsid w:val="005E111B"/>
    <w:rsid w:val="005E173B"/>
    <w:rsid w:val="005E1AF0"/>
    <w:rsid w:val="005E2B3A"/>
    <w:rsid w:val="005E35D5"/>
    <w:rsid w:val="005E54D1"/>
    <w:rsid w:val="005E6C20"/>
    <w:rsid w:val="005F022E"/>
    <w:rsid w:val="005F237C"/>
    <w:rsid w:val="005F2D67"/>
    <w:rsid w:val="005F3259"/>
    <w:rsid w:val="005F4E1E"/>
    <w:rsid w:val="005F50A4"/>
    <w:rsid w:val="005F56EC"/>
    <w:rsid w:val="005F756F"/>
    <w:rsid w:val="00602BD7"/>
    <w:rsid w:val="00602EC0"/>
    <w:rsid w:val="00604194"/>
    <w:rsid w:val="00605063"/>
    <w:rsid w:val="00606085"/>
    <w:rsid w:val="00607438"/>
    <w:rsid w:val="006101FD"/>
    <w:rsid w:val="00612C7F"/>
    <w:rsid w:val="006169CA"/>
    <w:rsid w:val="00616F40"/>
    <w:rsid w:val="0061753B"/>
    <w:rsid w:val="006202BC"/>
    <w:rsid w:val="006204EF"/>
    <w:rsid w:val="0062150E"/>
    <w:rsid w:val="00622FE6"/>
    <w:rsid w:val="00626F23"/>
    <w:rsid w:val="0063400F"/>
    <w:rsid w:val="00640471"/>
    <w:rsid w:val="006423F3"/>
    <w:rsid w:val="00642859"/>
    <w:rsid w:val="00642B23"/>
    <w:rsid w:val="0064344A"/>
    <w:rsid w:val="00643F04"/>
    <w:rsid w:val="00645875"/>
    <w:rsid w:val="0064686A"/>
    <w:rsid w:val="00647023"/>
    <w:rsid w:val="006472DE"/>
    <w:rsid w:val="00650CA0"/>
    <w:rsid w:val="00652A99"/>
    <w:rsid w:val="00654D8C"/>
    <w:rsid w:val="00654E70"/>
    <w:rsid w:val="00656156"/>
    <w:rsid w:val="00657B70"/>
    <w:rsid w:val="00660107"/>
    <w:rsid w:val="00660E15"/>
    <w:rsid w:val="00665194"/>
    <w:rsid w:val="00665CCB"/>
    <w:rsid w:val="006664A6"/>
    <w:rsid w:val="00670D79"/>
    <w:rsid w:val="00673930"/>
    <w:rsid w:val="00674271"/>
    <w:rsid w:val="0067458E"/>
    <w:rsid w:val="00675F18"/>
    <w:rsid w:val="00676C10"/>
    <w:rsid w:val="00680484"/>
    <w:rsid w:val="006818B9"/>
    <w:rsid w:val="006819BD"/>
    <w:rsid w:val="00681A00"/>
    <w:rsid w:val="00681AB6"/>
    <w:rsid w:val="00681F92"/>
    <w:rsid w:val="00682927"/>
    <w:rsid w:val="00682E40"/>
    <w:rsid w:val="0068393B"/>
    <w:rsid w:val="006842B1"/>
    <w:rsid w:val="00684DF8"/>
    <w:rsid w:val="00684E1B"/>
    <w:rsid w:val="00685F91"/>
    <w:rsid w:val="00687EFF"/>
    <w:rsid w:val="006936E5"/>
    <w:rsid w:val="00693ABC"/>
    <w:rsid w:val="0069483A"/>
    <w:rsid w:val="00696471"/>
    <w:rsid w:val="006977FF"/>
    <w:rsid w:val="006A7B91"/>
    <w:rsid w:val="006B06CA"/>
    <w:rsid w:val="006B12F7"/>
    <w:rsid w:val="006B482B"/>
    <w:rsid w:val="006B4B3A"/>
    <w:rsid w:val="006B6760"/>
    <w:rsid w:val="006B794B"/>
    <w:rsid w:val="006C0851"/>
    <w:rsid w:val="006C0F8E"/>
    <w:rsid w:val="006C18FC"/>
    <w:rsid w:val="006C3E5E"/>
    <w:rsid w:val="006D1126"/>
    <w:rsid w:val="006D1404"/>
    <w:rsid w:val="006D235F"/>
    <w:rsid w:val="006D3106"/>
    <w:rsid w:val="006D400E"/>
    <w:rsid w:val="006D55C1"/>
    <w:rsid w:val="006D69EC"/>
    <w:rsid w:val="006D6F30"/>
    <w:rsid w:val="006D73CE"/>
    <w:rsid w:val="006E036C"/>
    <w:rsid w:val="006E0BF8"/>
    <w:rsid w:val="006E31E6"/>
    <w:rsid w:val="006E321B"/>
    <w:rsid w:val="006E3AE1"/>
    <w:rsid w:val="006E3BC8"/>
    <w:rsid w:val="006E64AE"/>
    <w:rsid w:val="006E6E20"/>
    <w:rsid w:val="006F34DF"/>
    <w:rsid w:val="006F3AFA"/>
    <w:rsid w:val="006F41B0"/>
    <w:rsid w:val="006F4D92"/>
    <w:rsid w:val="006F59E7"/>
    <w:rsid w:val="0070118F"/>
    <w:rsid w:val="007020C1"/>
    <w:rsid w:val="0070302F"/>
    <w:rsid w:val="007031E8"/>
    <w:rsid w:val="00704D6F"/>
    <w:rsid w:val="00706F4C"/>
    <w:rsid w:val="007074D8"/>
    <w:rsid w:val="00713950"/>
    <w:rsid w:val="00713A26"/>
    <w:rsid w:val="007159C0"/>
    <w:rsid w:val="00715B41"/>
    <w:rsid w:val="00717192"/>
    <w:rsid w:val="0071771B"/>
    <w:rsid w:val="00717E57"/>
    <w:rsid w:val="00717E80"/>
    <w:rsid w:val="007200FC"/>
    <w:rsid w:val="00721CEB"/>
    <w:rsid w:val="007246B2"/>
    <w:rsid w:val="00731050"/>
    <w:rsid w:val="00733D29"/>
    <w:rsid w:val="00734BFA"/>
    <w:rsid w:val="007352CA"/>
    <w:rsid w:val="00736C13"/>
    <w:rsid w:val="00742C62"/>
    <w:rsid w:val="00745CEF"/>
    <w:rsid w:val="00746A4C"/>
    <w:rsid w:val="0075082E"/>
    <w:rsid w:val="00752A84"/>
    <w:rsid w:val="00753738"/>
    <w:rsid w:val="00753B74"/>
    <w:rsid w:val="007551C4"/>
    <w:rsid w:val="00755D58"/>
    <w:rsid w:val="00762146"/>
    <w:rsid w:val="007631F3"/>
    <w:rsid w:val="0076583F"/>
    <w:rsid w:val="00765C06"/>
    <w:rsid w:val="00767025"/>
    <w:rsid w:val="00767D63"/>
    <w:rsid w:val="0077075F"/>
    <w:rsid w:val="00774E9E"/>
    <w:rsid w:val="007764BB"/>
    <w:rsid w:val="0077770F"/>
    <w:rsid w:val="00777A63"/>
    <w:rsid w:val="00781EAC"/>
    <w:rsid w:val="007868F6"/>
    <w:rsid w:val="007869A1"/>
    <w:rsid w:val="00790E3A"/>
    <w:rsid w:val="00793AB6"/>
    <w:rsid w:val="007951A6"/>
    <w:rsid w:val="007959FB"/>
    <w:rsid w:val="00796CF4"/>
    <w:rsid w:val="007975DC"/>
    <w:rsid w:val="007A06EF"/>
    <w:rsid w:val="007A0DFD"/>
    <w:rsid w:val="007A151A"/>
    <w:rsid w:val="007A3D46"/>
    <w:rsid w:val="007A487F"/>
    <w:rsid w:val="007B0954"/>
    <w:rsid w:val="007B2149"/>
    <w:rsid w:val="007B2255"/>
    <w:rsid w:val="007B25FB"/>
    <w:rsid w:val="007B2865"/>
    <w:rsid w:val="007B3445"/>
    <w:rsid w:val="007B6CEB"/>
    <w:rsid w:val="007B7446"/>
    <w:rsid w:val="007B7FD7"/>
    <w:rsid w:val="007C0A7D"/>
    <w:rsid w:val="007C274A"/>
    <w:rsid w:val="007C296A"/>
    <w:rsid w:val="007C2A80"/>
    <w:rsid w:val="007C3893"/>
    <w:rsid w:val="007C6E2F"/>
    <w:rsid w:val="007C6E62"/>
    <w:rsid w:val="007C7675"/>
    <w:rsid w:val="007C7D70"/>
    <w:rsid w:val="007D124A"/>
    <w:rsid w:val="007D2A12"/>
    <w:rsid w:val="007D32C7"/>
    <w:rsid w:val="007D4FC4"/>
    <w:rsid w:val="007D6D74"/>
    <w:rsid w:val="007D6E08"/>
    <w:rsid w:val="007D7610"/>
    <w:rsid w:val="007E049B"/>
    <w:rsid w:val="007E0723"/>
    <w:rsid w:val="007E08CF"/>
    <w:rsid w:val="007E14F5"/>
    <w:rsid w:val="007E2422"/>
    <w:rsid w:val="007E380A"/>
    <w:rsid w:val="007E44A5"/>
    <w:rsid w:val="007E6136"/>
    <w:rsid w:val="007F03EE"/>
    <w:rsid w:val="007F0813"/>
    <w:rsid w:val="007F0CC7"/>
    <w:rsid w:val="007F0F67"/>
    <w:rsid w:val="007F1C95"/>
    <w:rsid w:val="007F5C25"/>
    <w:rsid w:val="007F65BC"/>
    <w:rsid w:val="007F6DAA"/>
    <w:rsid w:val="00800FC7"/>
    <w:rsid w:val="008013D2"/>
    <w:rsid w:val="00804116"/>
    <w:rsid w:val="008050F1"/>
    <w:rsid w:val="0080587F"/>
    <w:rsid w:val="008136DD"/>
    <w:rsid w:val="008143A5"/>
    <w:rsid w:val="00814D01"/>
    <w:rsid w:val="00815B78"/>
    <w:rsid w:val="00815E78"/>
    <w:rsid w:val="00816386"/>
    <w:rsid w:val="008215E1"/>
    <w:rsid w:val="00822973"/>
    <w:rsid w:val="00822D55"/>
    <w:rsid w:val="008233A8"/>
    <w:rsid w:val="00823808"/>
    <w:rsid w:val="00823CE9"/>
    <w:rsid w:val="00824E67"/>
    <w:rsid w:val="00825D95"/>
    <w:rsid w:val="008269DF"/>
    <w:rsid w:val="00827FF5"/>
    <w:rsid w:val="00830544"/>
    <w:rsid w:val="00831E1F"/>
    <w:rsid w:val="0083272E"/>
    <w:rsid w:val="0083376A"/>
    <w:rsid w:val="00833FC7"/>
    <w:rsid w:val="008351FA"/>
    <w:rsid w:val="00840674"/>
    <w:rsid w:val="00840A7A"/>
    <w:rsid w:val="00841361"/>
    <w:rsid w:val="008413F6"/>
    <w:rsid w:val="00841C5C"/>
    <w:rsid w:val="008435F9"/>
    <w:rsid w:val="008441ED"/>
    <w:rsid w:val="0084688F"/>
    <w:rsid w:val="00851750"/>
    <w:rsid w:val="00852188"/>
    <w:rsid w:val="00855260"/>
    <w:rsid w:val="00855DB3"/>
    <w:rsid w:val="00856FC1"/>
    <w:rsid w:val="008576E3"/>
    <w:rsid w:val="00857AC0"/>
    <w:rsid w:val="00857EBF"/>
    <w:rsid w:val="0086073B"/>
    <w:rsid w:val="00861070"/>
    <w:rsid w:val="008610D3"/>
    <w:rsid w:val="0086269F"/>
    <w:rsid w:val="0086303C"/>
    <w:rsid w:val="008637A8"/>
    <w:rsid w:val="008645DF"/>
    <w:rsid w:val="008668D8"/>
    <w:rsid w:val="00866C16"/>
    <w:rsid w:val="008700FA"/>
    <w:rsid w:val="0087242A"/>
    <w:rsid w:val="00874038"/>
    <w:rsid w:val="00874E31"/>
    <w:rsid w:val="00877779"/>
    <w:rsid w:val="008800F5"/>
    <w:rsid w:val="00880CCE"/>
    <w:rsid w:val="00884B41"/>
    <w:rsid w:val="00891FFE"/>
    <w:rsid w:val="00893433"/>
    <w:rsid w:val="0089431D"/>
    <w:rsid w:val="00894F44"/>
    <w:rsid w:val="008A22F4"/>
    <w:rsid w:val="008A5905"/>
    <w:rsid w:val="008A5AF6"/>
    <w:rsid w:val="008A60C4"/>
    <w:rsid w:val="008A617A"/>
    <w:rsid w:val="008A6960"/>
    <w:rsid w:val="008A74BB"/>
    <w:rsid w:val="008A7DA2"/>
    <w:rsid w:val="008B025A"/>
    <w:rsid w:val="008B05A4"/>
    <w:rsid w:val="008B1A3E"/>
    <w:rsid w:val="008B288C"/>
    <w:rsid w:val="008B32FC"/>
    <w:rsid w:val="008B4EB1"/>
    <w:rsid w:val="008B5642"/>
    <w:rsid w:val="008B63C9"/>
    <w:rsid w:val="008B69FF"/>
    <w:rsid w:val="008B70AC"/>
    <w:rsid w:val="008B7FA3"/>
    <w:rsid w:val="008C07B9"/>
    <w:rsid w:val="008C1995"/>
    <w:rsid w:val="008C20E6"/>
    <w:rsid w:val="008C4582"/>
    <w:rsid w:val="008C4A80"/>
    <w:rsid w:val="008C5008"/>
    <w:rsid w:val="008C5FFA"/>
    <w:rsid w:val="008C6144"/>
    <w:rsid w:val="008C6B21"/>
    <w:rsid w:val="008C7B8C"/>
    <w:rsid w:val="008D2B8A"/>
    <w:rsid w:val="008D4F0E"/>
    <w:rsid w:val="008D6D8F"/>
    <w:rsid w:val="008D7AA0"/>
    <w:rsid w:val="008E22C1"/>
    <w:rsid w:val="008E3D5E"/>
    <w:rsid w:val="008E58D6"/>
    <w:rsid w:val="008F007C"/>
    <w:rsid w:val="008F0E80"/>
    <w:rsid w:val="008F16BF"/>
    <w:rsid w:val="008F2482"/>
    <w:rsid w:val="008F4C70"/>
    <w:rsid w:val="008F57FE"/>
    <w:rsid w:val="00902230"/>
    <w:rsid w:val="0090511E"/>
    <w:rsid w:val="00905BF6"/>
    <w:rsid w:val="00910CD3"/>
    <w:rsid w:val="0091139C"/>
    <w:rsid w:val="009122D3"/>
    <w:rsid w:val="00912FEC"/>
    <w:rsid w:val="00913798"/>
    <w:rsid w:val="009144C1"/>
    <w:rsid w:val="00914679"/>
    <w:rsid w:val="0091482D"/>
    <w:rsid w:val="00914980"/>
    <w:rsid w:val="00916B22"/>
    <w:rsid w:val="00916E6D"/>
    <w:rsid w:val="00917075"/>
    <w:rsid w:val="0092009F"/>
    <w:rsid w:val="009209E7"/>
    <w:rsid w:val="00920A5A"/>
    <w:rsid w:val="0092480B"/>
    <w:rsid w:val="00924C7D"/>
    <w:rsid w:val="009322B0"/>
    <w:rsid w:val="00936451"/>
    <w:rsid w:val="00937F38"/>
    <w:rsid w:val="00942708"/>
    <w:rsid w:val="009431E4"/>
    <w:rsid w:val="00943259"/>
    <w:rsid w:val="009448CF"/>
    <w:rsid w:val="009455B3"/>
    <w:rsid w:val="0094635B"/>
    <w:rsid w:val="00946FCD"/>
    <w:rsid w:val="009519E6"/>
    <w:rsid w:val="00952E72"/>
    <w:rsid w:val="0095331A"/>
    <w:rsid w:val="00954B4E"/>
    <w:rsid w:val="00954CC7"/>
    <w:rsid w:val="00954D50"/>
    <w:rsid w:val="00956207"/>
    <w:rsid w:val="00957346"/>
    <w:rsid w:val="00961983"/>
    <w:rsid w:val="00966673"/>
    <w:rsid w:val="00971340"/>
    <w:rsid w:val="009720F0"/>
    <w:rsid w:val="00973E71"/>
    <w:rsid w:val="009748FF"/>
    <w:rsid w:val="009752AB"/>
    <w:rsid w:val="00976101"/>
    <w:rsid w:val="009840D8"/>
    <w:rsid w:val="009866A0"/>
    <w:rsid w:val="009875CA"/>
    <w:rsid w:val="00991C3E"/>
    <w:rsid w:val="009941D5"/>
    <w:rsid w:val="00994842"/>
    <w:rsid w:val="00995192"/>
    <w:rsid w:val="00995B8D"/>
    <w:rsid w:val="009963FF"/>
    <w:rsid w:val="00997478"/>
    <w:rsid w:val="009A16DC"/>
    <w:rsid w:val="009A1CC4"/>
    <w:rsid w:val="009A33B4"/>
    <w:rsid w:val="009A4BDE"/>
    <w:rsid w:val="009A5F3C"/>
    <w:rsid w:val="009A66D9"/>
    <w:rsid w:val="009A6894"/>
    <w:rsid w:val="009B0A1E"/>
    <w:rsid w:val="009B39DA"/>
    <w:rsid w:val="009B5F71"/>
    <w:rsid w:val="009C0537"/>
    <w:rsid w:val="009C376F"/>
    <w:rsid w:val="009C5FBC"/>
    <w:rsid w:val="009C7358"/>
    <w:rsid w:val="009D419A"/>
    <w:rsid w:val="009D4DEB"/>
    <w:rsid w:val="009D4FFA"/>
    <w:rsid w:val="009D5903"/>
    <w:rsid w:val="009D6E20"/>
    <w:rsid w:val="009E1034"/>
    <w:rsid w:val="009E2DE8"/>
    <w:rsid w:val="009E3131"/>
    <w:rsid w:val="009E3358"/>
    <w:rsid w:val="009E3EB6"/>
    <w:rsid w:val="009E4909"/>
    <w:rsid w:val="009E4B42"/>
    <w:rsid w:val="009E5F8B"/>
    <w:rsid w:val="009F15B7"/>
    <w:rsid w:val="009F1BDD"/>
    <w:rsid w:val="009F39C5"/>
    <w:rsid w:val="009F3BB0"/>
    <w:rsid w:val="009F42EB"/>
    <w:rsid w:val="009F536E"/>
    <w:rsid w:val="009F6B81"/>
    <w:rsid w:val="009F6C30"/>
    <w:rsid w:val="00A00B08"/>
    <w:rsid w:val="00A0286B"/>
    <w:rsid w:val="00A0360E"/>
    <w:rsid w:val="00A04689"/>
    <w:rsid w:val="00A05860"/>
    <w:rsid w:val="00A06673"/>
    <w:rsid w:val="00A0678B"/>
    <w:rsid w:val="00A07790"/>
    <w:rsid w:val="00A108EA"/>
    <w:rsid w:val="00A1156C"/>
    <w:rsid w:val="00A150EA"/>
    <w:rsid w:val="00A151AA"/>
    <w:rsid w:val="00A15EA8"/>
    <w:rsid w:val="00A216B5"/>
    <w:rsid w:val="00A23D9C"/>
    <w:rsid w:val="00A255A3"/>
    <w:rsid w:val="00A25AFB"/>
    <w:rsid w:val="00A25B08"/>
    <w:rsid w:val="00A271FA"/>
    <w:rsid w:val="00A27433"/>
    <w:rsid w:val="00A279E8"/>
    <w:rsid w:val="00A27A34"/>
    <w:rsid w:val="00A27C61"/>
    <w:rsid w:val="00A30609"/>
    <w:rsid w:val="00A32E12"/>
    <w:rsid w:val="00A37381"/>
    <w:rsid w:val="00A40449"/>
    <w:rsid w:val="00A4083E"/>
    <w:rsid w:val="00A41390"/>
    <w:rsid w:val="00A434E1"/>
    <w:rsid w:val="00A47B46"/>
    <w:rsid w:val="00A5066D"/>
    <w:rsid w:val="00A50ACC"/>
    <w:rsid w:val="00A51ADD"/>
    <w:rsid w:val="00A51C3D"/>
    <w:rsid w:val="00A52784"/>
    <w:rsid w:val="00A5617D"/>
    <w:rsid w:val="00A56466"/>
    <w:rsid w:val="00A576AF"/>
    <w:rsid w:val="00A57AFA"/>
    <w:rsid w:val="00A600CB"/>
    <w:rsid w:val="00A6118D"/>
    <w:rsid w:val="00A62243"/>
    <w:rsid w:val="00A636FD"/>
    <w:rsid w:val="00A657FF"/>
    <w:rsid w:val="00A6789C"/>
    <w:rsid w:val="00A7340E"/>
    <w:rsid w:val="00A74BA4"/>
    <w:rsid w:val="00A750BA"/>
    <w:rsid w:val="00A7792D"/>
    <w:rsid w:val="00A77ED6"/>
    <w:rsid w:val="00A8121D"/>
    <w:rsid w:val="00A84C7D"/>
    <w:rsid w:val="00A863DE"/>
    <w:rsid w:val="00A91387"/>
    <w:rsid w:val="00A93890"/>
    <w:rsid w:val="00A949B5"/>
    <w:rsid w:val="00A96A30"/>
    <w:rsid w:val="00AA09F4"/>
    <w:rsid w:val="00AA0D80"/>
    <w:rsid w:val="00AA0ED0"/>
    <w:rsid w:val="00AA284A"/>
    <w:rsid w:val="00AA44C4"/>
    <w:rsid w:val="00AA5AF5"/>
    <w:rsid w:val="00AA61A2"/>
    <w:rsid w:val="00AA6970"/>
    <w:rsid w:val="00AB0C6C"/>
    <w:rsid w:val="00AB1125"/>
    <w:rsid w:val="00AB128E"/>
    <w:rsid w:val="00AB265B"/>
    <w:rsid w:val="00AB3E7D"/>
    <w:rsid w:val="00AB751E"/>
    <w:rsid w:val="00AC0DE3"/>
    <w:rsid w:val="00AC3F53"/>
    <w:rsid w:val="00AC4AE6"/>
    <w:rsid w:val="00AC672F"/>
    <w:rsid w:val="00AC7DF6"/>
    <w:rsid w:val="00AD08B3"/>
    <w:rsid w:val="00AD1933"/>
    <w:rsid w:val="00AD3400"/>
    <w:rsid w:val="00AD58B5"/>
    <w:rsid w:val="00AE1EC4"/>
    <w:rsid w:val="00AE2D80"/>
    <w:rsid w:val="00AE2FE2"/>
    <w:rsid w:val="00AE36F0"/>
    <w:rsid w:val="00AE3738"/>
    <w:rsid w:val="00AE5C4D"/>
    <w:rsid w:val="00AF15E3"/>
    <w:rsid w:val="00AF1FF1"/>
    <w:rsid w:val="00AF4184"/>
    <w:rsid w:val="00AF7B9F"/>
    <w:rsid w:val="00B02BA6"/>
    <w:rsid w:val="00B04C94"/>
    <w:rsid w:val="00B04F1D"/>
    <w:rsid w:val="00B0614E"/>
    <w:rsid w:val="00B131A1"/>
    <w:rsid w:val="00B20809"/>
    <w:rsid w:val="00B20828"/>
    <w:rsid w:val="00B224D0"/>
    <w:rsid w:val="00B2324F"/>
    <w:rsid w:val="00B23E07"/>
    <w:rsid w:val="00B3109C"/>
    <w:rsid w:val="00B3350F"/>
    <w:rsid w:val="00B33D5C"/>
    <w:rsid w:val="00B3495D"/>
    <w:rsid w:val="00B35F7E"/>
    <w:rsid w:val="00B36436"/>
    <w:rsid w:val="00B36D0E"/>
    <w:rsid w:val="00B4066B"/>
    <w:rsid w:val="00B40BEC"/>
    <w:rsid w:val="00B40CC6"/>
    <w:rsid w:val="00B41F1E"/>
    <w:rsid w:val="00B41F5E"/>
    <w:rsid w:val="00B4434E"/>
    <w:rsid w:val="00B450A8"/>
    <w:rsid w:val="00B456C0"/>
    <w:rsid w:val="00B45733"/>
    <w:rsid w:val="00B45CAE"/>
    <w:rsid w:val="00B45D2F"/>
    <w:rsid w:val="00B4720D"/>
    <w:rsid w:val="00B5127E"/>
    <w:rsid w:val="00B514DF"/>
    <w:rsid w:val="00B51D4A"/>
    <w:rsid w:val="00B51E88"/>
    <w:rsid w:val="00B531D4"/>
    <w:rsid w:val="00B53B5E"/>
    <w:rsid w:val="00B56449"/>
    <w:rsid w:val="00B609F1"/>
    <w:rsid w:val="00B66A71"/>
    <w:rsid w:val="00B71AC8"/>
    <w:rsid w:val="00B7252D"/>
    <w:rsid w:val="00B72893"/>
    <w:rsid w:val="00B733C6"/>
    <w:rsid w:val="00B74645"/>
    <w:rsid w:val="00B7589A"/>
    <w:rsid w:val="00B767C4"/>
    <w:rsid w:val="00B800E3"/>
    <w:rsid w:val="00B80DDC"/>
    <w:rsid w:val="00B830CE"/>
    <w:rsid w:val="00B84CDE"/>
    <w:rsid w:val="00B856A2"/>
    <w:rsid w:val="00B8728B"/>
    <w:rsid w:val="00B90158"/>
    <w:rsid w:val="00B93764"/>
    <w:rsid w:val="00B94159"/>
    <w:rsid w:val="00B95A26"/>
    <w:rsid w:val="00B9632C"/>
    <w:rsid w:val="00B9779D"/>
    <w:rsid w:val="00BA1012"/>
    <w:rsid w:val="00BA3026"/>
    <w:rsid w:val="00BA3E98"/>
    <w:rsid w:val="00BA5FBC"/>
    <w:rsid w:val="00BB03E0"/>
    <w:rsid w:val="00BB1DD2"/>
    <w:rsid w:val="00BB49EC"/>
    <w:rsid w:val="00BB6269"/>
    <w:rsid w:val="00BB6461"/>
    <w:rsid w:val="00BB795B"/>
    <w:rsid w:val="00BB7E76"/>
    <w:rsid w:val="00BC022E"/>
    <w:rsid w:val="00BC0D33"/>
    <w:rsid w:val="00BC270B"/>
    <w:rsid w:val="00BC4BDC"/>
    <w:rsid w:val="00BC5BFA"/>
    <w:rsid w:val="00BD0192"/>
    <w:rsid w:val="00BD0F8A"/>
    <w:rsid w:val="00BD4CDE"/>
    <w:rsid w:val="00BD6C00"/>
    <w:rsid w:val="00BD6D21"/>
    <w:rsid w:val="00BE058C"/>
    <w:rsid w:val="00BE07AE"/>
    <w:rsid w:val="00BE0E2E"/>
    <w:rsid w:val="00BE1185"/>
    <w:rsid w:val="00BE23C8"/>
    <w:rsid w:val="00BE4DBA"/>
    <w:rsid w:val="00BE5313"/>
    <w:rsid w:val="00BE5344"/>
    <w:rsid w:val="00BE54CF"/>
    <w:rsid w:val="00BE577B"/>
    <w:rsid w:val="00BE765A"/>
    <w:rsid w:val="00BE7E7B"/>
    <w:rsid w:val="00BF05B1"/>
    <w:rsid w:val="00BF1CA3"/>
    <w:rsid w:val="00BF305C"/>
    <w:rsid w:val="00BF320F"/>
    <w:rsid w:val="00BF3686"/>
    <w:rsid w:val="00BF4A9A"/>
    <w:rsid w:val="00C00541"/>
    <w:rsid w:val="00C006F3"/>
    <w:rsid w:val="00C012B1"/>
    <w:rsid w:val="00C02380"/>
    <w:rsid w:val="00C034C0"/>
    <w:rsid w:val="00C03C1B"/>
    <w:rsid w:val="00C04392"/>
    <w:rsid w:val="00C07682"/>
    <w:rsid w:val="00C10908"/>
    <w:rsid w:val="00C11200"/>
    <w:rsid w:val="00C11511"/>
    <w:rsid w:val="00C13757"/>
    <w:rsid w:val="00C156D9"/>
    <w:rsid w:val="00C1647B"/>
    <w:rsid w:val="00C20502"/>
    <w:rsid w:val="00C21CF3"/>
    <w:rsid w:val="00C226DB"/>
    <w:rsid w:val="00C22B6D"/>
    <w:rsid w:val="00C22FD1"/>
    <w:rsid w:val="00C2435F"/>
    <w:rsid w:val="00C24C39"/>
    <w:rsid w:val="00C27E9B"/>
    <w:rsid w:val="00C316BA"/>
    <w:rsid w:val="00C31E12"/>
    <w:rsid w:val="00C3410C"/>
    <w:rsid w:val="00C346A1"/>
    <w:rsid w:val="00C3746A"/>
    <w:rsid w:val="00C405B6"/>
    <w:rsid w:val="00C40EC5"/>
    <w:rsid w:val="00C4113D"/>
    <w:rsid w:val="00C421F1"/>
    <w:rsid w:val="00C42EE8"/>
    <w:rsid w:val="00C4586B"/>
    <w:rsid w:val="00C51A0E"/>
    <w:rsid w:val="00C52C8B"/>
    <w:rsid w:val="00C554C7"/>
    <w:rsid w:val="00C55D37"/>
    <w:rsid w:val="00C563C7"/>
    <w:rsid w:val="00C579B0"/>
    <w:rsid w:val="00C602E9"/>
    <w:rsid w:val="00C622E8"/>
    <w:rsid w:val="00C63182"/>
    <w:rsid w:val="00C66877"/>
    <w:rsid w:val="00C71029"/>
    <w:rsid w:val="00C71F5B"/>
    <w:rsid w:val="00C7222C"/>
    <w:rsid w:val="00C7390A"/>
    <w:rsid w:val="00C80495"/>
    <w:rsid w:val="00C8097B"/>
    <w:rsid w:val="00C80A82"/>
    <w:rsid w:val="00C81DF6"/>
    <w:rsid w:val="00C827E0"/>
    <w:rsid w:val="00C841A4"/>
    <w:rsid w:val="00C8621F"/>
    <w:rsid w:val="00C9149F"/>
    <w:rsid w:val="00C919C1"/>
    <w:rsid w:val="00C91B08"/>
    <w:rsid w:val="00C94A26"/>
    <w:rsid w:val="00C95170"/>
    <w:rsid w:val="00C97BA2"/>
    <w:rsid w:val="00CA03CA"/>
    <w:rsid w:val="00CA0AF4"/>
    <w:rsid w:val="00CA1412"/>
    <w:rsid w:val="00CA19D1"/>
    <w:rsid w:val="00CA272A"/>
    <w:rsid w:val="00CA2A30"/>
    <w:rsid w:val="00CA2E9E"/>
    <w:rsid w:val="00CA6481"/>
    <w:rsid w:val="00CB029D"/>
    <w:rsid w:val="00CB071D"/>
    <w:rsid w:val="00CB1235"/>
    <w:rsid w:val="00CB3A79"/>
    <w:rsid w:val="00CB4424"/>
    <w:rsid w:val="00CC16D0"/>
    <w:rsid w:val="00CC22E5"/>
    <w:rsid w:val="00CC2E94"/>
    <w:rsid w:val="00CC3778"/>
    <w:rsid w:val="00CC3BCE"/>
    <w:rsid w:val="00CC7151"/>
    <w:rsid w:val="00CC7A13"/>
    <w:rsid w:val="00CD0D77"/>
    <w:rsid w:val="00CD21B9"/>
    <w:rsid w:val="00CD293F"/>
    <w:rsid w:val="00CD6743"/>
    <w:rsid w:val="00CD6A2D"/>
    <w:rsid w:val="00CD73E7"/>
    <w:rsid w:val="00CE03FA"/>
    <w:rsid w:val="00CE0884"/>
    <w:rsid w:val="00CE146B"/>
    <w:rsid w:val="00CE1A0D"/>
    <w:rsid w:val="00CE1AC1"/>
    <w:rsid w:val="00CE1EF1"/>
    <w:rsid w:val="00CE26BC"/>
    <w:rsid w:val="00CE2770"/>
    <w:rsid w:val="00CE2B7E"/>
    <w:rsid w:val="00CE4284"/>
    <w:rsid w:val="00CE5D02"/>
    <w:rsid w:val="00CF2776"/>
    <w:rsid w:val="00CF2FA3"/>
    <w:rsid w:val="00CF3EC5"/>
    <w:rsid w:val="00CF4C9B"/>
    <w:rsid w:val="00CF664C"/>
    <w:rsid w:val="00CF67E8"/>
    <w:rsid w:val="00CF7479"/>
    <w:rsid w:val="00D000FE"/>
    <w:rsid w:val="00D00330"/>
    <w:rsid w:val="00D00DA2"/>
    <w:rsid w:val="00D02CDE"/>
    <w:rsid w:val="00D036F0"/>
    <w:rsid w:val="00D03954"/>
    <w:rsid w:val="00D05E0D"/>
    <w:rsid w:val="00D06F6F"/>
    <w:rsid w:val="00D07C2D"/>
    <w:rsid w:val="00D10DB4"/>
    <w:rsid w:val="00D12D4D"/>
    <w:rsid w:val="00D12F19"/>
    <w:rsid w:val="00D1382B"/>
    <w:rsid w:val="00D1493E"/>
    <w:rsid w:val="00D1652E"/>
    <w:rsid w:val="00D17B89"/>
    <w:rsid w:val="00D20BEA"/>
    <w:rsid w:val="00D21E38"/>
    <w:rsid w:val="00D21F8D"/>
    <w:rsid w:val="00D23F0A"/>
    <w:rsid w:val="00D24E8B"/>
    <w:rsid w:val="00D253F2"/>
    <w:rsid w:val="00D314C3"/>
    <w:rsid w:val="00D31A7E"/>
    <w:rsid w:val="00D31BFF"/>
    <w:rsid w:val="00D3349A"/>
    <w:rsid w:val="00D363F3"/>
    <w:rsid w:val="00D3778E"/>
    <w:rsid w:val="00D474BE"/>
    <w:rsid w:val="00D4794D"/>
    <w:rsid w:val="00D47AA2"/>
    <w:rsid w:val="00D510F1"/>
    <w:rsid w:val="00D51B04"/>
    <w:rsid w:val="00D51FCD"/>
    <w:rsid w:val="00D5281D"/>
    <w:rsid w:val="00D55EF9"/>
    <w:rsid w:val="00D56390"/>
    <w:rsid w:val="00D5740F"/>
    <w:rsid w:val="00D60FA9"/>
    <w:rsid w:val="00D630B0"/>
    <w:rsid w:val="00D6627E"/>
    <w:rsid w:val="00D677A7"/>
    <w:rsid w:val="00D6793B"/>
    <w:rsid w:val="00D70EC5"/>
    <w:rsid w:val="00D713EE"/>
    <w:rsid w:val="00D71680"/>
    <w:rsid w:val="00D73275"/>
    <w:rsid w:val="00D76530"/>
    <w:rsid w:val="00D807AE"/>
    <w:rsid w:val="00D8091D"/>
    <w:rsid w:val="00D81B1F"/>
    <w:rsid w:val="00D81CF1"/>
    <w:rsid w:val="00D85659"/>
    <w:rsid w:val="00D86AB5"/>
    <w:rsid w:val="00D91A97"/>
    <w:rsid w:val="00D935CF"/>
    <w:rsid w:val="00D94B82"/>
    <w:rsid w:val="00D95AB7"/>
    <w:rsid w:val="00D9648F"/>
    <w:rsid w:val="00D97082"/>
    <w:rsid w:val="00DA00C9"/>
    <w:rsid w:val="00DB03B2"/>
    <w:rsid w:val="00DB0E02"/>
    <w:rsid w:val="00DB3A57"/>
    <w:rsid w:val="00DB598B"/>
    <w:rsid w:val="00DB701B"/>
    <w:rsid w:val="00DB75DB"/>
    <w:rsid w:val="00DC06C8"/>
    <w:rsid w:val="00DC0C8B"/>
    <w:rsid w:val="00DC2FA7"/>
    <w:rsid w:val="00DC4273"/>
    <w:rsid w:val="00DC5111"/>
    <w:rsid w:val="00DC5EE2"/>
    <w:rsid w:val="00DC7C80"/>
    <w:rsid w:val="00DD0562"/>
    <w:rsid w:val="00DE043B"/>
    <w:rsid w:val="00DE0469"/>
    <w:rsid w:val="00DE31C8"/>
    <w:rsid w:val="00DE4604"/>
    <w:rsid w:val="00DE491F"/>
    <w:rsid w:val="00DE650C"/>
    <w:rsid w:val="00DE7BC5"/>
    <w:rsid w:val="00DE7CCF"/>
    <w:rsid w:val="00DF311E"/>
    <w:rsid w:val="00DF7805"/>
    <w:rsid w:val="00E01823"/>
    <w:rsid w:val="00E01C3D"/>
    <w:rsid w:val="00E037EF"/>
    <w:rsid w:val="00E043D7"/>
    <w:rsid w:val="00E0513A"/>
    <w:rsid w:val="00E06F42"/>
    <w:rsid w:val="00E10A68"/>
    <w:rsid w:val="00E11206"/>
    <w:rsid w:val="00E116C9"/>
    <w:rsid w:val="00E11A05"/>
    <w:rsid w:val="00E12562"/>
    <w:rsid w:val="00E1525F"/>
    <w:rsid w:val="00E15360"/>
    <w:rsid w:val="00E16FF3"/>
    <w:rsid w:val="00E21149"/>
    <w:rsid w:val="00E2252F"/>
    <w:rsid w:val="00E2295A"/>
    <w:rsid w:val="00E229B2"/>
    <w:rsid w:val="00E23933"/>
    <w:rsid w:val="00E24903"/>
    <w:rsid w:val="00E24FEA"/>
    <w:rsid w:val="00E263FC"/>
    <w:rsid w:val="00E26414"/>
    <w:rsid w:val="00E27B82"/>
    <w:rsid w:val="00E31020"/>
    <w:rsid w:val="00E32B1A"/>
    <w:rsid w:val="00E331C4"/>
    <w:rsid w:val="00E33970"/>
    <w:rsid w:val="00E33D7F"/>
    <w:rsid w:val="00E368E7"/>
    <w:rsid w:val="00E404CC"/>
    <w:rsid w:val="00E4145A"/>
    <w:rsid w:val="00E42E25"/>
    <w:rsid w:val="00E45C28"/>
    <w:rsid w:val="00E45CDB"/>
    <w:rsid w:val="00E525F0"/>
    <w:rsid w:val="00E56C19"/>
    <w:rsid w:val="00E57228"/>
    <w:rsid w:val="00E62605"/>
    <w:rsid w:val="00E62E1B"/>
    <w:rsid w:val="00E637E1"/>
    <w:rsid w:val="00E6478D"/>
    <w:rsid w:val="00E67065"/>
    <w:rsid w:val="00E67722"/>
    <w:rsid w:val="00E70849"/>
    <w:rsid w:val="00E7775D"/>
    <w:rsid w:val="00E8187C"/>
    <w:rsid w:val="00E81A4C"/>
    <w:rsid w:val="00E84D1F"/>
    <w:rsid w:val="00E855F4"/>
    <w:rsid w:val="00E9024C"/>
    <w:rsid w:val="00E90C45"/>
    <w:rsid w:val="00E942F0"/>
    <w:rsid w:val="00E95875"/>
    <w:rsid w:val="00E97C08"/>
    <w:rsid w:val="00E97D49"/>
    <w:rsid w:val="00EA5F89"/>
    <w:rsid w:val="00EA7569"/>
    <w:rsid w:val="00EB0C93"/>
    <w:rsid w:val="00EB2239"/>
    <w:rsid w:val="00EB24B4"/>
    <w:rsid w:val="00EB396E"/>
    <w:rsid w:val="00EB3D50"/>
    <w:rsid w:val="00EB57D2"/>
    <w:rsid w:val="00EB697D"/>
    <w:rsid w:val="00EB723D"/>
    <w:rsid w:val="00EC0BA9"/>
    <w:rsid w:val="00EC1593"/>
    <w:rsid w:val="00EC1F1B"/>
    <w:rsid w:val="00EC3196"/>
    <w:rsid w:val="00EC3379"/>
    <w:rsid w:val="00EC43D5"/>
    <w:rsid w:val="00EC51B7"/>
    <w:rsid w:val="00EC5DDD"/>
    <w:rsid w:val="00EC673A"/>
    <w:rsid w:val="00ED112B"/>
    <w:rsid w:val="00ED297D"/>
    <w:rsid w:val="00ED29CE"/>
    <w:rsid w:val="00ED3ACB"/>
    <w:rsid w:val="00ED3C7A"/>
    <w:rsid w:val="00ED5B4D"/>
    <w:rsid w:val="00ED5D89"/>
    <w:rsid w:val="00ED6130"/>
    <w:rsid w:val="00EE06E8"/>
    <w:rsid w:val="00EE1B1E"/>
    <w:rsid w:val="00EE4D2F"/>
    <w:rsid w:val="00EF2828"/>
    <w:rsid w:val="00EF6B9A"/>
    <w:rsid w:val="00EF7016"/>
    <w:rsid w:val="00F055B9"/>
    <w:rsid w:val="00F057E1"/>
    <w:rsid w:val="00F05DCC"/>
    <w:rsid w:val="00F061AA"/>
    <w:rsid w:val="00F11BA7"/>
    <w:rsid w:val="00F11F82"/>
    <w:rsid w:val="00F1268E"/>
    <w:rsid w:val="00F1400C"/>
    <w:rsid w:val="00F1421C"/>
    <w:rsid w:val="00F15E3E"/>
    <w:rsid w:val="00F2280E"/>
    <w:rsid w:val="00F234C7"/>
    <w:rsid w:val="00F244DD"/>
    <w:rsid w:val="00F25EC7"/>
    <w:rsid w:val="00F261F2"/>
    <w:rsid w:val="00F27B13"/>
    <w:rsid w:val="00F33A2E"/>
    <w:rsid w:val="00F33BC3"/>
    <w:rsid w:val="00F36477"/>
    <w:rsid w:val="00F3689F"/>
    <w:rsid w:val="00F37D22"/>
    <w:rsid w:val="00F407C5"/>
    <w:rsid w:val="00F410C1"/>
    <w:rsid w:val="00F43255"/>
    <w:rsid w:val="00F44CC4"/>
    <w:rsid w:val="00F46310"/>
    <w:rsid w:val="00F5160A"/>
    <w:rsid w:val="00F5218D"/>
    <w:rsid w:val="00F52710"/>
    <w:rsid w:val="00F541BB"/>
    <w:rsid w:val="00F54C70"/>
    <w:rsid w:val="00F55E37"/>
    <w:rsid w:val="00F568BD"/>
    <w:rsid w:val="00F57BCA"/>
    <w:rsid w:val="00F61DC4"/>
    <w:rsid w:val="00F62F00"/>
    <w:rsid w:val="00F63524"/>
    <w:rsid w:val="00F636D5"/>
    <w:rsid w:val="00F6638D"/>
    <w:rsid w:val="00F66A05"/>
    <w:rsid w:val="00F66F88"/>
    <w:rsid w:val="00F677F0"/>
    <w:rsid w:val="00F720A4"/>
    <w:rsid w:val="00F729D7"/>
    <w:rsid w:val="00F72A14"/>
    <w:rsid w:val="00F7328E"/>
    <w:rsid w:val="00F7798C"/>
    <w:rsid w:val="00F82636"/>
    <w:rsid w:val="00F82A6B"/>
    <w:rsid w:val="00F86159"/>
    <w:rsid w:val="00F874EC"/>
    <w:rsid w:val="00F91519"/>
    <w:rsid w:val="00F9237D"/>
    <w:rsid w:val="00F94001"/>
    <w:rsid w:val="00F96218"/>
    <w:rsid w:val="00F9737C"/>
    <w:rsid w:val="00F97DAF"/>
    <w:rsid w:val="00FA16DE"/>
    <w:rsid w:val="00FA546B"/>
    <w:rsid w:val="00FA7947"/>
    <w:rsid w:val="00FB311F"/>
    <w:rsid w:val="00FB3C76"/>
    <w:rsid w:val="00FB40E6"/>
    <w:rsid w:val="00FB4F17"/>
    <w:rsid w:val="00FB518D"/>
    <w:rsid w:val="00FB5E75"/>
    <w:rsid w:val="00FB61C2"/>
    <w:rsid w:val="00FB7A29"/>
    <w:rsid w:val="00FB7C4B"/>
    <w:rsid w:val="00FC0EE2"/>
    <w:rsid w:val="00FC17CF"/>
    <w:rsid w:val="00FC17D2"/>
    <w:rsid w:val="00FC2E1B"/>
    <w:rsid w:val="00FC5093"/>
    <w:rsid w:val="00FC589D"/>
    <w:rsid w:val="00FC7BFC"/>
    <w:rsid w:val="00FD065C"/>
    <w:rsid w:val="00FD1400"/>
    <w:rsid w:val="00FD32D6"/>
    <w:rsid w:val="00FD4001"/>
    <w:rsid w:val="00FD4C7F"/>
    <w:rsid w:val="00FD5DED"/>
    <w:rsid w:val="00FD6B3D"/>
    <w:rsid w:val="00FE215E"/>
    <w:rsid w:val="00FE2544"/>
    <w:rsid w:val="00FE3884"/>
    <w:rsid w:val="00FE3E23"/>
    <w:rsid w:val="00FE588C"/>
    <w:rsid w:val="00FE5D1E"/>
    <w:rsid w:val="00FE5F41"/>
    <w:rsid w:val="00FE6BC1"/>
    <w:rsid w:val="00FE7454"/>
    <w:rsid w:val="00FE7FBA"/>
    <w:rsid w:val="00FF0693"/>
    <w:rsid w:val="00FF2F15"/>
    <w:rsid w:val="00FF3D65"/>
    <w:rsid w:val="00FF6BC6"/>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4" type="connector" idref="#_x0000_s1027"/>
        <o:r id="V:Rule5" type="connector" idref="#_x0000_s1028"/>
        <o:r id="V:Rule6"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ind w:left="709" w:hanging="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0813"/>
  </w:style>
  <w:style w:type="paragraph" w:styleId="Titre1">
    <w:name w:val="heading 1"/>
    <w:basedOn w:val="Normal"/>
    <w:next w:val="Normal"/>
    <w:link w:val="Titre1Car"/>
    <w:uiPriority w:val="9"/>
    <w:qFormat/>
    <w:rsid w:val="000C181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8A60C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link w:val="Titre3Car"/>
    <w:uiPriority w:val="9"/>
    <w:qFormat/>
    <w:rsid w:val="00494682"/>
    <w:pPr>
      <w:spacing w:before="100" w:beforeAutospacing="1" w:after="100" w:afterAutospacing="1"/>
      <w:ind w:left="0" w:firstLine="0"/>
      <w:jc w:val="left"/>
      <w:outlineLvl w:val="2"/>
    </w:pPr>
    <w:rPr>
      <w:rFonts w:ascii="Times New Roman" w:eastAsia="Times New Roman" w:hAnsi="Times New Roman" w:cs="Times New Roman"/>
      <w:b/>
      <w:bCs/>
      <w:sz w:val="27"/>
      <w:szCs w:val="27"/>
      <w:lang w:eastAsia="fr-FR"/>
    </w:rPr>
  </w:style>
  <w:style w:type="paragraph" w:styleId="Titre4">
    <w:name w:val="heading 4"/>
    <w:basedOn w:val="Normal"/>
    <w:next w:val="Normal"/>
    <w:link w:val="Titre4Car"/>
    <w:uiPriority w:val="9"/>
    <w:semiHidden/>
    <w:unhideWhenUsed/>
    <w:qFormat/>
    <w:rsid w:val="00581F06"/>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link w:val="Titre5Car"/>
    <w:uiPriority w:val="9"/>
    <w:qFormat/>
    <w:rsid w:val="00494682"/>
    <w:pPr>
      <w:spacing w:before="100" w:beforeAutospacing="1" w:after="100" w:afterAutospacing="1"/>
      <w:ind w:left="0" w:firstLine="0"/>
      <w:jc w:val="left"/>
      <w:outlineLvl w:val="4"/>
    </w:pPr>
    <w:rPr>
      <w:rFonts w:ascii="Times New Roman" w:eastAsia="Times New Roman" w:hAnsi="Times New Roman" w:cs="Times New Roman"/>
      <w:b/>
      <w:bCs/>
      <w:sz w:val="20"/>
      <w:szCs w:val="20"/>
      <w:lang w:eastAsia="fr-FR"/>
    </w:rPr>
  </w:style>
  <w:style w:type="paragraph" w:styleId="Titre6">
    <w:name w:val="heading 6"/>
    <w:basedOn w:val="Normal"/>
    <w:next w:val="Normal"/>
    <w:link w:val="Titre6Car"/>
    <w:uiPriority w:val="9"/>
    <w:semiHidden/>
    <w:unhideWhenUsed/>
    <w:qFormat/>
    <w:rsid w:val="000D71DC"/>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articleinner">
    <w:name w:val="article__inner"/>
    <w:basedOn w:val="Policepardfaut"/>
    <w:rsid w:val="00894F44"/>
  </w:style>
  <w:style w:type="character" w:styleId="Lienhypertexte">
    <w:name w:val="Hyperlink"/>
    <w:basedOn w:val="Policepardfaut"/>
    <w:uiPriority w:val="99"/>
    <w:unhideWhenUsed/>
    <w:rsid w:val="00894F44"/>
    <w:rPr>
      <w:color w:val="0000FF"/>
      <w:u w:val="single"/>
    </w:rPr>
  </w:style>
  <w:style w:type="character" w:styleId="Accentuation">
    <w:name w:val="Emphasis"/>
    <w:basedOn w:val="Policepardfaut"/>
    <w:uiPriority w:val="20"/>
    <w:qFormat/>
    <w:rsid w:val="00894F44"/>
    <w:rPr>
      <w:i/>
      <w:iCs/>
    </w:rPr>
  </w:style>
  <w:style w:type="character" w:customStyle="1" w:styleId="Titre3Car">
    <w:name w:val="Titre 3 Car"/>
    <w:basedOn w:val="Policepardfaut"/>
    <w:link w:val="Titre3"/>
    <w:uiPriority w:val="9"/>
    <w:rsid w:val="00494682"/>
    <w:rPr>
      <w:rFonts w:ascii="Times New Roman" w:eastAsia="Times New Roman" w:hAnsi="Times New Roman" w:cs="Times New Roman"/>
      <w:b/>
      <w:bCs/>
      <w:sz w:val="27"/>
      <w:szCs w:val="27"/>
      <w:lang w:eastAsia="fr-FR"/>
    </w:rPr>
  </w:style>
  <w:style w:type="character" w:customStyle="1" w:styleId="Titre5Car">
    <w:name w:val="Titre 5 Car"/>
    <w:basedOn w:val="Policepardfaut"/>
    <w:link w:val="Titre5"/>
    <w:uiPriority w:val="9"/>
    <w:rsid w:val="00494682"/>
    <w:rPr>
      <w:rFonts w:ascii="Times New Roman" w:eastAsia="Times New Roman" w:hAnsi="Times New Roman" w:cs="Times New Roman"/>
      <w:b/>
      <w:bCs/>
      <w:sz w:val="20"/>
      <w:szCs w:val="20"/>
      <w:lang w:eastAsia="fr-FR"/>
    </w:rPr>
  </w:style>
  <w:style w:type="character" w:styleId="lev">
    <w:name w:val="Strong"/>
    <w:basedOn w:val="Policepardfaut"/>
    <w:uiPriority w:val="22"/>
    <w:qFormat/>
    <w:rsid w:val="00494682"/>
    <w:rPr>
      <w:b/>
      <w:bCs/>
    </w:rPr>
  </w:style>
  <w:style w:type="paragraph" w:styleId="NormalWeb">
    <w:name w:val="Normal (Web)"/>
    <w:basedOn w:val="Normal"/>
    <w:uiPriority w:val="99"/>
    <w:unhideWhenUsed/>
    <w:rsid w:val="00494682"/>
    <w:pPr>
      <w:spacing w:before="100" w:beforeAutospacing="1" w:after="100" w:afterAutospacing="1"/>
      <w:ind w:left="0" w:firstLine="0"/>
      <w:jc w:val="left"/>
    </w:pPr>
    <w:rPr>
      <w:rFonts w:ascii="Times New Roman" w:eastAsia="Times New Roman" w:hAnsi="Times New Roman" w:cs="Times New Roman"/>
      <w:sz w:val="24"/>
      <w:szCs w:val="24"/>
      <w:lang w:eastAsia="fr-FR"/>
    </w:rPr>
  </w:style>
  <w:style w:type="character" w:styleId="Lienhypertextesuivivisit">
    <w:name w:val="FollowedHyperlink"/>
    <w:basedOn w:val="Policepardfaut"/>
    <w:uiPriority w:val="99"/>
    <w:semiHidden/>
    <w:unhideWhenUsed/>
    <w:rsid w:val="00494682"/>
    <w:rPr>
      <w:color w:val="800080" w:themeColor="followedHyperlink"/>
      <w:u w:val="single"/>
    </w:rPr>
  </w:style>
  <w:style w:type="character" w:customStyle="1" w:styleId="Titre1Car">
    <w:name w:val="Titre 1 Car"/>
    <w:basedOn w:val="Policepardfaut"/>
    <w:link w:val="Titre1"/>
    <w:uiPriority w:val="9"/>
    <w:rsid w:val="000C181C"/>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8A60C4"/>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A750BA"/>
    <w:pPr>
      <w:ind w:left="720"/>
      <w:contextualSpacing/>
    </w:pPr>
  </w:style>
  <w:style w:type="character" w:customStyle="1" w:styleId="html-italic">
    <w:name w:val="html-italic"/>
    <w:basedOn w:val="Policepardfaut"/>
    <w:rsid w:val="00C66877"/>
  </w:style>
  <w:style w:type="character" w:customStyle="1" w:styleId="nowrap">
    <w:name w:val="nowrap"/>
    <w:basedOn w:val="Policepardfaut"/>
    <w:rsid w:val="00F261F2"/>
  </w:style>
  <w:style w:type="character" w:customStyle="1" w:styleId="note-exposant">
    <w:name w:val="note-exposant"/>
    <w:basedOn w:val="Policepardfaut"/>
    <w:rsid w:val="00C579B0"/>
  </w:style>
  <w:style w:type="character" w:customStyle="1" w:styleId="mx-05">
    <w:name w:val="mx-0.5"/>
    <w:basedOn w:val="Policepardfaut"/>
    <w:rsid w:val="002753FC"/>
  </w:style>
  <w:style w:type="paragraph" w:styleId="Notedebasdepage">
    <w:name w:val="footnote text"/>
    <w:basedOn w:val="Normal"/>
    <w:link w:val="NotedebasdepageCar"/>
    <w:uiPriority w:val="99"/>
    <w:unhideWhenUsed/>
    <w:rsid w:val="00971340"/>
    <w:rPr>
      <w:sz w:val="20"/>
      <w:szCs w:val="20"/>
    </w:rPr>
  </w:style>
  <w:style w:type="character" w:customStyle="1" w:styleId="NotedebasdepageCar">
    <w:name w:val="Note de bas de page Car"/>
    <w:basedOn w:val="Policepardfaut"/>
    <w:link w:val="Notedebasdepage"/>
    <w:uiPriority w:val="99"/>
    <w:rsid w:val="00971340"/>
    <w:rPr>
      <w:sz w:val="20"/>
      <w:szCs w:val="20"/>
    </w:rPr>
  </w:style>
  <w:style w:type="character" w:styleId="Appelnotedebasdep">
    <w:name w:val="footnote reference"/>
    <w:basedOn w:val="Policepardfaut"/>
    <w:uiPriority w:val="99"/>
    <w:semiHidden/>
    <w:unhideWhenUsed/>
    <w:rsid w:val="00971340"/>
    <w:rPr>
      <w:vertAlign w:val="superscript"/>
    </w:rPr>
  </w:style>
  <w:style w:type="character" w:customStyle="1" w:styleId="mw-cite-backlink">
    <w:name w:val="mw-cite-backlink"/>
    <w:basedOn w:val="Policepardfaut"/>
    <w:rsid w:val="000E25B2"/>
  </w:style>
  <w:style w:type="character" w:styleId="CitationHTML">
    <w:name w:val="HTML Cite"/>
    <w:basedOn w:val="Policepardfaut"/>
    <w:uiPriority w:val="99"/>
    <w:semiHidden/>
    <w:unhideWhenUsed/>
    <w:rsid w:val="000E25B2"/>
    <w:rPr>
      <w:i/>
      <w:iCs/>
    </w:rPr>
  </w:style>
  <w:style w:type="character" w:customStyle="1" w:styleId="id-lock-free">
    <w:name w:val="id-lock-free"/>
    <w:basedOn w:val="Policepardfaut"/>
    <w:rsid w:val="000E25B2"/>
  </w:style>
  <w:style w:type="character" w:customStyle="1" w:styleId="mw-editsection">
    <w:name w:val="mw-editsection"/>
    <w:basedOn w:val="Policepardfaut"/>
    <w:rsid w:val="00684E1B"/>
  </w:style>
  <w:style w:type="character" w:customStyle="1" w:styleId="mw-editsection-bracket">
    <w:name w:val="mw-editsection-bracket"/>
    <w:basedOn w:val="Policepardfaut"/>
    <w:rsid w:val="00684E1B"/>
  </w:style>
  <w:style w:type="character" w:customStyle="1" w:styleId="mw-editsection-divider">
    <w:name w:val="mw-editsection-divider"/>
    <w:basedOn w:val="Policepardfaut"/>
    <w:rsid w:val="00684E1B"/>
  </w:style>
  <w:style w:type="character" w:customStyle="1" w:styleId="Titre4Car">
    <w:name w:val="Titre 4 Car"/>
    <w:basedOn w:val="Policepardfaut"/>
    <w:link w:val="Titre4"/>
    <w:uiPriority w:val="9"/>
    <w:semiHidden/>
    <w:rsid w:val="00581F06"/>
    <w:rPr>
      <w:rFonts w:asciiTheme="majorHAnsi" w:eastAsiaTheme="majorEastAsia" w:hAnsiTheme="majorHAnsi" w:cstheme="majorBidi"/>
      <w:b/>
      <w:bCs/>
      <w:i/>
      <w:iCs/>
      <w:color w:val="4F81BD" w:themeColor="accent1"/>
    </w:rPr>
  </w:style>
  <w:style w:type="character" w:customStyle="1" w:styleId="v1yt-core-attributed-string--link-inherit-color">
    <w:name w:val="v1yt-core-attributed-string--link-inherit-color"/>
    <w:basedOn w:val="Policepardfaut"/>
    <w:rsid w:val="00285EC3"/>
  </w:style>
  <w:style w:type="character" w:customStyle="1" w:styleId="authors-list-item">
    <w:name w:val="authors-list-item"/>
    <w:basedOn w:val="Policepardfaut"/>
    <w:rsid w:val="00FF6BC6"/>
  </w:style>
  <w:style w:type="character" w:customStyle="1" w:styleId="comma">
    <w:name w:val="comma"/>
    <w:basedOn w:val="Policepardfaut"/>
    <w:rsid w:val="00FF6BC6"/>
  </w:style>
  <w:style w:type="character" w:customStyle="1" w:styleId="docsum-authors">
    <w:name w:val="docsum-authors"/>
    <w:basedOn w:val="Policepardfaut"/>
    <w:rsid w:val="000646DD"/>
  </w:style>
  <w:style w:type="character" w:customStyle="1" w:styleId="docsum-journal-citation">
    <w:name w:val="docsum-journal-citation"/>
    <w:basedOn w:val="Policepardfaut"/>
    <w:rsid w:val="000646DD"/>
  </w:style>
  <w:style w:type="character" w:customStyle="1" w:styleId="citation-part">
    <w:name w:val="citation-part"/>
    <w:basedOn w:val="Policepardfaut"/>
    <w:rsid w:val="000646DD"/>
  </w:style>
  <w:style w:type="character" w:customStyle="1" w:styleId="docsum-pmid">
    <w:name w:val="docsum-pmid"/>
    <w:basedOn w:val="Policepardfaut"/>
    <w:rsid w:val="000646DD"/>
  </w:style>
  <w:style w:type="character" w:customStyle="1" w:styleId="author-sup-separator">
    <w:name w:val="author-sup-separator"/>
    <w:basedOn w:val="Policepardfaut"/>
    <w:rsid w:val="000646DD"/>
  </w:style>
  <w:style w:type="character" w:customStyle="1" w:styleId="title">
    <w:name w:val="title"/>
    <w:basedOn w:val="Policepardfaut"/>
    <w:rsid w:val="000646DD"/>
  </w:style>
  <w:style w:type="character" w:customStyle="1" w:styleId="identifier">
    <w:name w:val="identifier"/>
    <w:basedOn w:val="Policepardfaut"/>
    <w:rsid w:val="000646DD"/>
  </w:style>
  <w:style w:type="character" w:customStyle="1" w:styleId="id-label">
    <w:name w:val="id-label"/>
    <w:basedOn w:val="Policepardfaut"/>
    <w:rsid w:val="000646DD"/>
  </w:style>
  <w:style w:type="character" w:customStyle="1" w:styleId="gscittxt">
    <w:name w:val="gs_cit_txt"/>
    <w:basedOn w:val="Policepardfaut"/>
    <w:rsid w:val="00D02CDE"/>
  </w:style>
  <w:style w:type="paragraph" w:customStyle="1" w:styleId="doi">
    <w:name w:val="doi"/>
    <w:basedOn w:val="Normal"/>
    <w:rsid w:val="007C2A80"/>
    <w:pPr>
      <w:spacing w:before="100" w:beforeAutospacing="1" w:after="100" w:afterAutospacing="1"/>
      <w:ind w:left="0" w:firstLine="0"/>
      <w:jc w:val="left"/>
    </w:pPr>
    <w:rPr>
      <w:rFonts w:ascii="Times New Roman" w:eastAsia="Times New Roman" w:hAnsi="Times New Roman" w:cs="Times New Roman"/>
      <w:sz w:val="24"/>
      <w:szCs w:val="24"/>
      <w:lang w:eastAsia="fr-FR"/>
    </w:rPr>
  </w:style>
  <w:style w:type="character" w:customStyle="1" w:styleId="Titre6Car">
    <w:name w:val="Titre 6 Car"/>
    <w:basedOn w:val="Policepardfaut"/>
    <w:link w:val="Titre6"/>
    <w:uiPriority w:val="9"/>
    <w:semiHidden/>
    <w:rsid w:val="000D71DC"/>
    <w:rPr>
      <w:rFonts w:asciiTheme="majorHAnsi" w:eastAsiaTheme="majorEastAsia" w:hAnsiTheme="majorHAnsi" w:cstheme="majorBidi"/>
      <w:i/>
      <w:iCs/>
      <w:color w:val="243F60" w:themeColor="accent1" w:themeShade="7F"/>
    </w:rPr>
  </w:style>
  <w:style w:type="character" w:customStyle="1" w:styleId="relative">
    <w:name w:val="relative"/>
    <w:basedOn w:val="Policepardfaut"/>
    <w:rsid w:val="000D71DC"/>
  </w:style>
  <w:style w:type="character" w:customStyle="1" w:styleId="ms-1">
    <w:name w:val="ms-1"/>
    <w:basedOn w:val="Policepardfaut"/>
    <w:rsid w:val="000D71DC"/>
  </w:style>
  <w:style w:type="character" w:customStyle="1" w:styleId="max-w-full">
    <w:name w:val="max-w-full"/>
    <w:basedOn w:val="Policepardfaut"/>
    <w:rsid w:val="000D71DC"/>
  </w:style>
  <w:style w:type="character" w:customStyle="1" w:styleId="-me-1">
    <w:name w:val="-me-1"/>
    <w:basedOn w:val="Policepardfaut"/>
    <w:rsid w:val="000D71DC"/>
  </w:style>
  <w:style w:type="paragraph" w:styleId="PrformatHTML">
    <w:name w:val="HTML Preformatted"/>
    <w:basedOn w:val="Normal"/>
    <w:link w:val="PrformatHTMLCar"/>
    <w:uiPriority w:val="99"/>
    <w:semiHidden/>
    <w:unhideWhenUsed/>
    <w:rsid w:val="000D71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0"/>
      <w:jc w:val="left"/>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0D71DC"/>
    <w:rPr>
      <w:rFonts w:ascii="Courier New" w:eastAsia="Times New Roman" w:hAnsi="Courier New" w:cs="Courier New"/>
      <w:sz w:val="20"/>
      <w:szCs w:val="20"/>
      <w:lang w:eastAsia="fr-FR"/>
    </w:rPr>
  </w:style>
  <w:style w:type="character" w:styleId="CodeHTML">
    <w:name w:val="HTML Code"/>
    <w:basedOn w:val="Policepardfaut"/>
    <w:uiPriority w:val="99"/>
    <w:semiHidden/>
    <w:unhideWhenUsed/>
    <w:rsid w:val="000D71DC"/>
    <w:rPr>
      <w:rFonts w:ascii="Courier New" w:eastAsia="Times New Roman" w:hAnsi="Courier New" w:cs="Courier New"/>
      <w:sz w:val="20"/>
      <w:szCs w:val="20"/>
    </w:rPr>
  </w:style>
  <w:style w:type="character" w:customStyle="1" w:styleId="hljs-keyword">
    <w:name w:val="hljs-keyword"/>
    <w:basedOn w:val="Policepardfaut"/>
    <w:rsid w:val="000D71DC"/>
  </w:style>
  <w:style w:type="character" w:customStyle="1" w:styleId="hljs-comment">
    <w:name w:val="hljs-comment"/>
    <w:basedOn w:val="Policepardfaut"/>
    <w:rsid w:val="000D71DC"/>
  </w:style>
  <w:style w:type="character" w:customStyle="1" w:styleId="hljs-builtin">
    <w:name w:val="hljs-built_in"/>
    <w:basedOn w:val="Policepardfaut"/>
    <w:rsid w:val="000D71DC"/>
  </w:style>
  <w:style w:type="character" w:customStyle="1" w:styleId="hljs-string">
    <w:name w:val="hljs-string"/>
    <w:basedOn w:val="Policepardfaut"/>
    <w:rsid w:val="000D71DC"/>
  </w:style>
  <w:style w:type="character" w:customStyle="1" w:styleId="hljs-literal">
    <w:name w:val="hljs-literal"/>
    <w:basedOn w:val="Policepardfaut"/>
    <w:rsid w:val="000D71DC"/>
  </w:style>
  <w:style w:type="character" w:customStyle="1" w:styleId="ds2-5-body-md">
    <w:name w:val="ds2-5-body-md"/>
    <w:basedOn w:val="Policepardfaut"/>
    <w:rsid w:val="00A7792D"/>
  </w:style>
  <w:style w:type="character" w:customStyle="1" w:styleId="material-symbols-outlined">
    <w:name w:val="material-symbols-outlined"/>
    <w:basedOn w:val="Policepardfaut"/>
    <w:rsid w:val="00A7792D"/>
  </w:style>
  <w:style w:type="paragraph" w:customStyle="1" w:styleId="ds2-5-body-sm">
    <w:name w:val="ds2-5-body-sm"/>
    <w:basedOn w:val="Normal"/>
    <w:rsid w:val="00A7792D"/>
    <w:pPr>
      <w:spacing w:before="100" w:beforeAutospacing="1" w:after="100" w:afterAutospacing="1"/>
      <w:ind w:left="0" w:firstLine="0"/>
      <w:jc w:val="left"/>
    </w:pPr>
    <w:rPr>
      <w:rFonts w:ascii="Times New Roman" w:eastAsia="Times New Roman" w:hAnsi="Times New Roman" w:cs="Times New Roman"/>
      <w:sz w:val="24"/>
      <w:szCs w:val="24"/>
      <w:lang w:eastAsia="fr-FR"/>
    </w:rPr>
  </w:style>
  <w:style w:type="character" w:customStyle="1" w:styleId="clickable">
    <w:name w:val="clickable"/>
    <w:basedOn w:val="Policepardfaut"/>
    <w:rsid w:val="00A7792D"/>
  </w:style>
  <w:style w:type="character" w:customStyle="1" w:styleId="overflow-hidden">
    <w:name w:val="overflow-hidden"/>
    <w:basedOn w:val="Policepardfaut"/>
    <w:rsid w:val="00BE1185"/>
  </w:style>
  <w:style w:type="paragraph" w:styleId="z-Hautduformulaire">
    <w:name w:val="HTML Top of Form"/>
    <w:basedOn w:val="Normal"/>
    <w:next w:val="Normal"/>
    <w:link w:val="z-HautduformulaireCar"/>
    <w:hidden/>
    <w:uiPriority w:val="99"/>
    <w:semiHidden/>
    <w:unhideWhenUsed/>
    <w:rsid w:val="00543168"/>
    <w:pPr>
      <w:pBdr>
        <w:bottom w:val="single" w:sz="6" w:space="1" w:color="auto"/>
      </w:pBdr>
      <w:ind w:left="0" w:firstLine="0"/>
      <w:jc w:val="center"/>
    </w:pPr>
    <w:rPr>
      <w:rFonts w:ascii="Arial" w:eastAsia="Times New Roman" w:hAnsi="Arial" w:cs="Arial"/>
      <w:vanish/>
      <w:sz w:val="16"/>
      <w:szCs w:val="16"/>
      <w:lang w:eastAsia="fr-FR"/>
    </w:rPr>
  </w:style>
  <w:style w:type="character" w:customStyle="1" w:styleId="z-HautduformulaireCar">
    <w:name w:val="z-Haut du formulaire Car"/>
    <w:basedOn w:val="Policepardfaut"/>
    <w:link w:val="z-Hautduformulaire"/>
    <w:uiPriority w:val="99"/>
    <w:semiHidden/>
    <w:rsid w:val="00543168"/>
    <w:rPr>
      <w:rFonts w:ascii="Arial" w:eastAsia="Times New Roman" w:hAnsi="Arial" w:cs="Arial"/>
      <w:vanish/>
      <w:sz w:val="16"/>
      <w:szCs w:val="16"/>
      <w:lang w:eastAsia="fr-FR"/>
    </w:rPr>
  </w:style>
  <w:style w:type="paragraph" w:customStyle="1" w:styleId="placeholder">
    <w:name w:val="placeholder"/>
    <w:basedOn w:val="Normal"/>
    <w:rsid w:val="00543168"/>
    <w:pPr>
      <w:spacing w:before="100" w:beforeAutospacing="1" w:after="100" w:afterAutospacing="1"/>
      <w:ind w:left="0" w:firstLine="0"/>
      <w:jc w:val="left"/>
    </w:pPr>
    <w:rPr>
      <w:rFonts w:ascii="Times New Roman" w:eastAsia="Times New Roman" w:hAnsi="Times New Roman" w:cs="Times New Roman"/>
      <w:sz w:val="24"/>
      <w:szCs w:val="24"/>
      <w:lang w:eastAsia="fr-FR"/>
    </w:rPr>
  </w:style>
  <w:style w:type="character" w:customStyle="1" w:styleId="displayvar--force-hide-label">
    <w:name w:val="[display:var(--force-hide-label)]"/>
    <w:basedOn w:val="Policepardfaut"/>
    <w:rsid w:val="00543168"/>
  </w:style>
  <w:style w:type="paragraph" w:styleId="z-Basduformulaire">
    <w:name w:val="HTML Bottom of Form"/>
    <w:basedOn w:val="Normal"/>
    <w:next w:val="Normal"/>
    <w:link w:val="z-BasduformulaireCar"/>
    <w:hidden/>
    <w:uiPriority w:val="99"/>
    <w:semiHidden/>
    <w:unhideWhenUsed/>
    <w:rsid w:val="00543168"/>
    <w:pPr>
      <w:pBdr>
        <w:top w:val="single" w:sz="6" w:space="1" w:color="auto"/>
      </w:pBdr>
      <w:ind w:left="0" w:firstLine="0"/>
      <w:jc w:val="center"/>
    </w:pPr>
    <w:rPr>
      <w:rFonts w:ascii="Arial" w:eastAsia="Times New Roman" w:hAnsi="Arial" w:cs="Arial"/>
      <w:vanish/>
      <w:sz w:val="16"/>
      <w:szCs w:val="16"/>
      <w:lang w:eastAsia="fr-FR"/>
    </w:rPr>
  </w:style>
  <w:style w:type="character" w:customStyle="1" w:styleId="z-BasduformulaireCar">
    <w:name w:val="z-Bas du formulaire Car"/>
    <w:basedOn w:val="Policepardfaut"/>
    <w:link w:val="z-Basduformulaire"/>
    <w:uiPriority w:val="99"/>
    <w:semiHidden/>
    <w:rsid w:val="00543168"/>
    <w:rPr>
      <w:rFonts w:ascii="Arial" w:eastAsia="Times New Roman" w:hAnsi="Arial" w:cs="Arial"/>
      <w:vanish/>
      <w:sz w:val="16"/>
      <w:szCs w:val="16"/>
      <w:lang w:eastAsia="fr-FR"/>
    </w:rPr>
  </w:style>
  <w:style w:type="paragraph" w:styleId="En-tte">
    <w:name w:val="header"/>
    <w:basedOn w:val="Normal"/>
    <w:link w:val="En-tteCar"/>
    <w:uiPriority w:val="99"/>
    <w:semiHidden/>
    <w:unhideWhenUsed/>
    <w:rsid w:val="00367C86"/>
    <w:pPr>
      <w:tabs>
        <w:tab w:val="center" w:pos="4536"/>
        <w:tab w:val="right" w:pos="9072"/>
      </w:tabs>
    </w:pPr>
  </w:style>
  <w:style w:type="character" w:customStyle="1" w:styleId="En-tteCar">
    <w:name w:val="En-tête Car"/>
    <w:basedOn w:val="Policepardfaut"/>
    <w:link w:val="En-tte"/>
    <w:uiPriority w:val="99"/>
    <w:semiHidden/>
    <w:rsid w:val="00367C86"/>
  </w:style>
  <w:style w:type="paragraph" w:styleId="Pieddepage">
    <w:name w:val="footer"/>
    <w:basedOn w:val="Normal"/>
    <w:link w:val="PieddepageCar"/>
    <w:uiPriority w:val="99"/>
    <w:unhideWhenUsed/>
    <w:rsid w:val="00367C86"/>
    <w:pPr>
      <w:tabs>
        <w:tab w:val="center" w:pos="4536"/>
        <w:tab w:val="right" w:pos="9072"/>
      </w:tabs>
    </w:pPr>
  </w:style>
  <w:style w:type="character" w:customStyle="1" w:styleId="PieddepageCar">
    <w:name w:val="Pied de page Car"/>
    <w:basedOn w:val="Policepardfaut"/>
    <w:link w:val="Pieddepage"/>
    <w:uiPriority w:val="99"/>
    <w:rsid w:val="00367C86"/>
  </w:style>
  <w:style w:type="paragraph" w:styleId="Listepuces">
    <w:name w:val="List Bullet"/>
    <w:basedOn w:val="Normal"/>
    <w:uiPriority w:val="99"/>
    <w:unhideWhenUsed/>
    <w:rsid w:val="008645DF"/>
    <w:pPr>
      <w:numPr>
        <w:numId w:val="23"/>
      </w:numPr>
      <w:spacing w:after="200" w:line="276" w:lineRule="auto"/>
      <w:contextualSpacing/>
      <w:jc w:val="left"/>
    </w:pPr>
    <w:rPr>
      <w:rFonts w:eastAsiaTheme="minorEastAsia"/>
      <w:lang w:val="en-US"/>
    </w:rPr>
  </w:style>
  <w:style w:type="character" w:customStyle="1" w:styleId="hljs-title">
    <w:name w:val="hljs-title"/>
    <w:basedOn w:val="Policepardfaut"/>
    <w:rsid w:val="008645DF"/>
  </w:style>
  <w:style w:type="character" w:customStyle="1" w:styleId="hljs-params">
    <w:name w:val="hljs-params"/>
    <w:basedOn w:val="Policepardfaut"/>
    <w:rsid w:val="008645DF"/>
  </w:style>
  <w:style w:type="character" w:customStyle="1" w:styleId="flex">
    <w:name w:val="flex"/>
    <w:basedOn w:val="Policepardfaut"/>
    <w:rsid w:val="008645DF"/>
  </w:style>
  <w:style w:type="paragraph" w:styleId="Titre">
    <w:name w:val="Title"/>
    <w:basedOn w:val="Normal"/>
    <w:next w:val="Normal"/>
    <w:link w:val="TitreCar"/>
    <w:uiPriority w:val="10"/>
    <w:qFormat/>
    <w:rsid w:val="008645DF"/>
    <w:pPr>
      <w:pBdr>
        <w:bottom w:val="single" w:sz="8" w:space="4" w:color="4F81BD" w:themeColor="accent1"/>
      </w:pBdr>
      <w:spacing w:after="300"/>
      <w:ind w:left="0" w:firstLine="0"/>
      <w:contextualSpacing/>
      <w:jc w:val="left"/>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TitreCar">
    <w:name w:val="Titre Car"/>
    <w:basedOn w:val="Policepardfaut"/>
    <w:link w:val="Titre"/>
    <w:uiPriority w:val="10"/>
    <w:rsid w:val="008645DF"/>
    <w:rPr>
      <w:rFonts w:asciiTheme="majorHAnsi" w:eastAsiaTheme="majorEastAsia" w:hAnsiTheme="majorHAnsi" w:cstheme="majorBidi"/>
      <w:color w:val="17365D" w:themeColor="text2" w:themeShade="BF"/>
      <w:spacing w:val="5"/>
      <w:kern w:val="28"/>
      <w:sz w:val="52"/>
      <w:szCs w:val="52"/>
      <w:lang w:val="en-US"/>
    </w:rPr>
  </w:style>
</w:styles>
</file>

<file path=word/webSettings.xml><?xml version="1.0" encoding="utf-8"?>
<w:webSettings xmlns:r="http://schemas.openxmlformats.org/officeDocument/2006/relationships" xmlns:w="http://schemas.openxmlformats.org/wordprocessingml/2006/main">
  <w:divs>
    <w:div w:id="4670836">
      <w:bodyDiv w:val="1"/>
      <w:marLeft w:val="0"/>
      <w:marRight w:val="0"/>
      <w:marTop w:val="0"/>
      <w:marBottom w:val="0"/>
      <w:divBdr>
        <w:top w:val="none" w:sz="0" w:space="0" w:color="auto"/>
        <w:left w:val="none" w:sz="0" w:space="0" w:color="auto"/>
        <w:bottom w:val="none" w:sz="0" w:space="0" w:color="auto"/>
        <w:right w:val="none" w:sz="0" w:space="0" w:color="auto"/>
      </w:divBdr>
    </w:div>
    <w:div w:id="12584348">
      <w:bodyDiv w:val="1"/>
      <w:marLeft w:val="0"/>
      <w:marRight w:val="0"/>
      <w:marTop w:val="0"/>
      <w:marBottom w:val="0"/>
      <w:divBdr>
        <w:top w:val="none" w:sz="0" w:space="0" w:color="auto"/>
        <w:left w:val="none" w:sz="0" w:space="0" w:color="auto"/>
        <w:bottom w:val="none" w:sz="0" w:space="0" w:color="auto"/>
        <w:right w:val="none" w:sz="0" w:space="0" w:color="auto"/>
      </w:divBdr>
    </w:div>
    <w:div w:id="34471944">
      <w:bodyDiv w:val="1"/>
      <w:marLeft w:val="0"/>
      <w:marRight w:val="0"/>
      <w:marTop w:val="0"/>
      <w:marBottom w:val="0"/>
      <w:divBdr>
        <w:top w:val="none" w:sz="0" w:space="0" w:color="auto"/>
        <w:left w:val="none" w:sz="0" w:space="0" w:color="auto"/>
        <w:bottom w:val="none" w:sz="0" w:space="0" w:color="auto"/>
        <w:right w:val="none" w:sz="0" w:space="0" w:color="auto"/>
      </w:divBdr>
      <w:divsChild>
        <w:div w:id="192236059">
          <w:marLeft w:val="0"/>
          <w:marRight w:val="0"/>
          <w:marTop w:val="0"/>
          <w:marBottom w:val="0"/>
          <w:divBdr>
            <w:top w:val="none" w:sz="0" w:space="0" w:color="auto"/>
            <w:left w:val="none" w:sz="0" w:space="0" w:color="auto"/>
            <w:bottom w:val="none" w:sz="0" w:space="0" w:color="auto"/>
            <w:right w:val="none" w:sz="0" w:space="0" w:color="auto"/>
          </w:divBdr>
        </w:div>
      </w:divsChild>
    </w:div>
    <w:div w:id="46150384">
      <w:bodyDiv w:val="1"/>
      <w:marLeft w:val="0"/>
      <w:marRight w:val="0"/>
      <w:marTop w:val="0"/>
      <w:marBottom w:val="0"/>
      <w:divBdr>
        <w:top w:val="none" w:sz="0" w:space="0" w:color="auto"/>
        <w:left w:val="none" w:sz="0" w:space="0" w:color="auto"/>
        <w:bottom w:val="none" w:sz="0" w:space="0" w:color="auto"/>
        <w:right w:val="none" w:sz="0" w:space="0" w:color="auto"/>
      </w:divBdr>
    </w:div>
    <w:div w:id="77137463">
      <w:bodyDiv w:val="1"/>
      <w:marLeft w:val="0"/>
      <w:marRight w:val="0"/>
      <w:marTop w:val="0"/>
      <w:marBottom w:val="0"/>
      <w:divBdr>
        <w:top w:val="none" w:sz="0" w:space="0" w:color="auto"/>
        <w:left w:val="none" w:sz="0" w:space="0" w:color="auto"/>
        <w:bottom w:val="none" w:sz="0" w:space="0" w:color="auto"/>
        <w:right w:val="none" w:sz="0" w:space="0" w:color="auto"/>
      </w:divBdr>
    </w:div>
    <w:div w:id="98529086">
      <w:bodyDiv w:val="1"/>
      <w:marLeft w:val="0"/>
      <w:marRight w:val="0"/>
      <w:marTop w:val="0"/>
      <w:marBottom w:val="0"/>
      <w:divBdr>
        <w:top w:val="none" w:sz="0" w:space="0" w:color="auto"/>
        <w:left w:val="none" w:sz="0" w:space="0" w:color="auto"/>
        <w:bottom w:val="none" w:sz="0" w:space="0" w:color="auto"/>
        <w:right w:val="none" w:sz="0" w:space="0" w:color="auto"/>
      </w:divBdr>
    </w:div>
    <w:div w:id="108790625">
      <w:bodyDiv w:val="1"/>
      <w:marLeft w:val="0"/>
      <w:marRight w:val="0"/>
      <w:marTop w:val="0"/>
      <w:marBottom w:val="0"/>
      <w:divBdr>
        <w:top w:val="none" w:sz="0" w:space="0" w:color="auto"/>
        <w:left w:val="none" w:sz="0" w:space="0" w:color="auto"/>
        <w:bottom w:val="none" w:sz="0" w:space="0" w:color="auto"/>
        <w:right w:val="none" w:sz="0" w:space="0" w:color="auto"/>
      </w:divBdr>
      <w:divsChild>
        <w:div w:id="741413332">
          <w:marLeft w:val="0"/>
          <w:marRight w:val="0"/>
          <w:marTop w:val="0"/>
          <w:marBottom w:val="0"/>
          <w:divBdr>
            <w:top w:val="none" w:sz="0" w:space="0" w:color="auto"/>
            <w:left w:val="none" w:sz="0" w:space="0" w:color="auto"/>
            <w:bottom w:val="none" w:sz="0" w:space="0" w:color="auto"/>
            <w:right w:val="none" w:sz="0" w:space="0" w:color="auto"/>
          </w:divBdr>
          <w:divsChild>
            <w:div w:id="1051807013">
              <w:marLeft w:val="0"/>
              <w:marRight w:val="0"/>
              <w:marTop w:val="0"/>
              <w:marBottom w:val="0"/>
              <w:divBdr>
                <w:top w:val="none" w:sz="0" w:space="0" w:color="auto"/>
                <w:left w:val="none" w:sz="0" w:space="0" w:color="auto"/>
                <w:bottom w:val="none" w:sz="0" w:space="0" w:color="auto"/>
                <w:right w:val="none" w:sz="0" w:space="0" w:color="auto"/>
              </w:divBdr>
            </w:div>
          </w:divsChild>
        </w:div>
        <w:div w:id="1696928027">
          <w:marLeft w:val="0"/>
          <w:marRight w:val="0"/>
          <w:marTop w:val="0"/>
          <w:marBottom w:val="0"/>
          <w:divBdr>
            <w:top w:val="none" w:sz="0" w:space="0" w:color="auto"/>
            <w:left w:val="none" w:sz="0" w:space="0" w:color="auto"/>
            <w:bottom w:val="none" w:sz="0" w:space="0" w:color="auto"/>
            <w:right w:val="none" w:sz="0" w:space="0" w:color="auto"/>
          </w:divBdr>
          <w:divsChild>
            <w:div w:id="2102602794">
              <w:marLeft w:val="0"/>
              <w:marRight w:val="0"/>
              <w:marTop w:val="0"/>
              <w:marBottom w:val="0"/>
              <w:divBdr>
                <w:top w:val="none" w:sz="0" w:space="0" w:color="auto"/>
                <w:left w:val="none" w:sz="0" w:space="0" w:color="auto"/>
                <w:bottom w:val="none" w:sz="0" w:space="0" w:color="auto"/>
                <w:right w:val="none" w:sz="0" w:space="0" w:color="auto"/>
              </w:divBdr>
              <w:divsChild>
                <w:div w:id="152347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82641">
      <w:bodyDiv w:val="1"/>
      <w:marLeft w:val="0"/>
      <w:marRight w:val="0"/>
      <w:marTop w:val="0"/>
      <w:marBottom w:val="0"/>
      <w:divBdr>
        <w:top w:val="none" w:sz="0" w:space="0" w:color="auto"/>
        <w:left w:val="none" w:sz="0" w:space="0" w:color="auto"/>
        <w:bottom w:val="none" w:sz="0" w:space="0" w:color="auto"/>
        <w:right w:val="none" w:sz="0" w:space="0" w:color="auto"/>
      </w:divBdr>
    </w:div>
    <w:div w:id="145323752">
      <w:bodyDiv w:val="1"/>
      <w:marLeft w:val="0"/>
      <w:marRight w:val="0"/>
      <w:marTop w:val="0"/>
      <w:marBottom w:val="0"/>
      <w:divBdr>
        <w:top w:val="none" w:sz="0" w:space="0" w:color="auto"/>
        <w:left w:val="none" w:sz="0" w:space="0" w:color="auto"/>
        <w:bottom w:val="none" w:sz="0" w:space="0" w:color="auto"/>
        <w:right w:val="none" w:sz="0" w:space="0" w:color="auto"/>
      </w:divBdr>
    </w:div>
    <w:div w:id="161510945">
      <w:bodyDiv w:val="1"/>
      <w:marLeft w:val="0"/>
      <w:marRight w:val="0"/>
      <w:marTop w:val="0"/>
      <w:marBottom w:val="0"/>
      <w:divBdr>
        <w:top w:val="none" w:sz="0" w:space="0" w:color="auto"/>
        <w:left w:val="none" w:sz="0" w:space="0" w:color="auto"/>
        <w:bottom w:val="none" w:sz="0" w:space="0" w:color="auto"/>
        <w:right w:val="none" w:sz="0" w:space="0" w:color="auto"/>
      </w:divBdr>
      <w:divsChild>
        <w:div w:id="395587376">
          <w:marLeft w:val="0"/>
          <w:marRight w:val="0"/>
          <w:marTop w:val="0"/>
          <w:marBottom w:val="0"/>
          <w:divBdr>
            <w:top w:val="none" w:sz="0" w:space="0" w:color="auto"/>
            <w:left w:val="none" w:sz="0" w:space="0" w:color="auto"/>
            <w:bottom w:val="none" w:sz="0" w:space="0" w:color="auto"/>
            <w:right w:val="none" w:sz="0" w:space="0" w:color="auto"/>
          </w:divBdr>
          <w:divsChild>
            <w:div w:id="1751999639">
              <w:marLeft w:val="0"/>
              <w:marRight w:val="0"/>
              <w:marTop w:val="0"/>
              <w:marBottom w:val="0"/>
              <w:divBdr>
                <w:top w:val="none" w:sz="0" w:space="0" w:color="auto"/>
                <w:left w:val="none" w:sz="0" w:space="0" w:color="auto"/>
                <w:bottom w:val="none" w:sz="0" w:space="0" w:color="auto"/>
                <w:right w:val="none" w:sz="0" w:space="0" w:color="auto"/>
              </w:divBdr>
              <w:divsChild>
                <w:div w:id="1702051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549146">
          <w:marLeft w:val="0"/>
          <w:marRight w:val="0"/>
          <w:marTop w:val="0"/>
          <w:marBottom w:val="0"/>
          <w:divBdr>
            <w:top w:val="none" w:sz="0" w:space="0" w:color="auto"/>
            <w:left w:val="none" w:sz="0" w:space="0" w:color="auto"/>
            <w:bottom w:val="none" w:sz="0" w:space="0" w:color="auto"/>
            <w:right w:val="none" w:sz="0" w:space="0" w:color="auto"/>
          </w:divBdr>
          <w:divsChild>
            <w:div w:id="152247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89419">
      <w:bodyDiv w:val="1"/>
      <w:marLeft w:val="0"/>
      <w:marRight w:val="0"/>
      <w:marTop w:val="0"/>
      <w:marBottom w:val="0"/>
      <w:divBdr>
        <w:top w:val="none" w:sz="0" w:space="0" w:color="auto"/>
        <w:left w:val="none" w:sz="0" w:space="0" w:color="auto"/>
        <w:bottom w:val="none" w:sz="0" w:space="0" w:color="auto"/>
        <w:right w:val="none" w:sz="0" w:space="0" w:color="auto"/>
      </w:divBdr>
    </w:div>
    <w:div w:id="179011180">
      <w:bodyDiv w:val="1"/>
      <w:marLeft w:val="0"/>
      <w:marRight w:val="0"/>
      <w:marTop w:val="0"/>
      <w:marBottom w:val="0"/>
      <w:divBdr>
        <w:top w:val="none" w:sz="0" w:space="0" w:color="auto"/>
        <w:left w:val="none" w:sz="0" w:space="0" w:color="auto"/>
        <w:bottom w:val="none" w:sz="0" w:space="0" w:color="auto"/>
        <w:right w:val="none" w:sz="0" w:space="0" w:color="auto"/>
      </w:divBdr>
      <w:divsChild>
        <w:div w:id="1211378931">
          <w:marLeft w:val="0"/>
          <w:marRight w:val="0"/>
          <w:marTop w:val="0"/>
          <w:marBottom w:val="0"/>
          <w:divBdr>
            <w:top w:val="none" w:sz="0" w:space="0" w:color="auto"/>
            <w:left w:val="none" w:sz="0" w:space="0" w:color="auto"/>
            <w:bottom w:val="none" w:sz="0" w:space="0" w:color="auto"/>
            <w:right w:val="none" w:sz="0" w:space="0" w:color="auto"/>
          </w:divBdr>
        </w:div>
      </w:divsChild>
    </w:div>
    <w:div w:id="245186353">
      <w:bodyDiv w:val="1"/>
      <w:marLeft w:val="0"/>
      <w:marRight w:val="0"/>
      <w:marTop w:val="0"/>
      <w:marBottom w:val="0"/>
      <w:divBdr>
        <w:top w:val="none" w:sz="0" w:space="0" w:color="auto"/>
        <w:left w:val="none" w:sz="0" w:space="0" w:color="auto"/>
        <w:bottom w:val="none" w:sz="0" w:space="0" w:color="auto"/>
        <w:right w:val="none" w:sz="0" w:space="0" w:color="auto"/>
      </w:divBdr>
    </w:div>
    <w:div w:id="246307860">
      <w:bodyDiv w:val="1"/>
      <w:marLeft w:val="0"/>
      <w:marRight w:val="0"/>
      <w:marTop w:val="0"/>
      <w:marBottom w:val="0"/>
      <w:divBdr>
        <w:top w:val="none" w:sz="0" w:space="0" w:color="auto"/>
        <w:left w:val="none" w:sz="0" w:space="0" w:color="auto"/>
        <w:bottom w:val="none" w:sz="0" w:space="0" w:color="auto"/>
        <w:right w:val="none" w:sz="0" w:space="0" w:color="auto"/>
      </w:divBdr>
      <w:divsChild>
        <w:div w:id="459882401">
          <w:marLeft w:val="0"/>
          <w:marRight w:val="0"/>
          <w:marTop w:val="0"/>
          <w:marBottom w:val="0"/>
          <w:divBdr>
            <w:top w:val="none" w:sz="0" w:space="0" w:color="auto"/>
            <w:left w:val="none" w:sz="0" w:space="0" w:color="auto"/>
            <w:bottom w:val="none" w:sz="0" w:space="0" w:color="auto"/>
            <w:right w:val="none" w:sz="0" w:space="0" w:color="auto"/>
          </w:divBdr>
          <w:divsChild>
            <w:div w:id="1333987536">
              <w:marLeft w:val="0"/>
              <w:marRight w:val="0"/>
              <w:marTop w:val="0"/>
              <w:marBottom w:val="0"/>
              <w:divBdr>
                <w:top w:val="none" w:sz="0" w:space="0" w:color="auto"/>
                <w:left w:val="none" w:sz="0" w:space="0" w:color="auto"/>
                <w:bottom w:val="none" w:sz="0" w:space="0" w:color="auto"/>
                <w:right w:val="none" w:sz="0" w:space="0" w:color="auto"/>
              </w:divBdr>
              <w:divsChild>
                <w:div w:id="1228691871">
                  <w:marLeft w:val="0"/>
                  <w:marRight w:val="0"/>
                  <w:marTop w:val="0"/>
                  <w:marBottom w:val="0"/>
                  <w:divBdr>
                    <w:top w:val="none" w:sz="0" w:space="0" w:color="auto"/>
                    <w:left w:val="none" w:sz="0" w:space="0" w:color="auto"/>
                    <w:bottom w:val="none" w:sz="0" w:space="0" w:color="auto"/>
                    <w:right w:val="none" w:sz="0" w:space="0" w:color="auto"/>
                  </w:divBdr>
                  <w:divsChild>
                    <w:div w:id="297611202">
                      <w:marLeft w:val="0"/>
                      <w:marRight w:val="0"/>
                      <w:marTop w:val="0"/>
                      <w:marBottom w:val="0"/>
                      <w:divBdr>
                        <w:top w:val="none" w:sz="0" w:space="0" w:color="auto"/>
                        <w:left w:val="none" w:sz="0" w:space="0" w:color="auto"/>
                        <w:bottom w:val="none" w:sz="0" w:space="0" w:color="auto"/>
                        <w:right w:val="none" w:sz="0" w:space="0" w:color="auto"/>
                      </w:divBdr>
                    </w:div>
                  </w:divsChild>
                </w:div>
                <w:div w:id="1957133488">
                  <w:marLeft w:val="0"/>
                  <w:marRight w:val="0"/>
                  <w:marTop w:val="0"/>
                  <w:marBottom w:val="0"/>
                  <w:divBdr>
                    <w:top w:val="none" w:sz="0" w:space="0" w:color="auto"/>
                    <w:left w:val="none" w:sz="0" w:space="0" w:color="auto"/>
                    <w:bottom w:val="none" w:sz="0" w:space="0" w:color="auto"/>
                    <w:right w:val="none" w:sz="0" w:space="0" w:color="auto"/>
                  </w:divBdr>
                  <w:divsChild>
                    <w:div w:id="2063871015">
                      <w:marLeft w:val="0"/>
                      <w:marRight w:val="0"/>
                      <w:marTop w:val="0"/>
                      <w:marBottom w:val="0"/>
                      <w:divBdr>
                        <w:top w:val="none" w:sz="0" w:space="0" w:color="auto"/>
                        <w:left w:val="none" w:sz="0" w:space="0" w:color="auto"/>
                        <w:bottom w:val="none" w:sz="0" w:space="0" w:color="auto"/>
                        <w:right w:val="none" w:sz="0" w:space="0" w:color="auto"/>
                      </w:divBdr>
                      <w:divsChild>
                        <w:div w:id="270479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3711946">
          <w:marLeft w:val="0"/>
          <w:marRight w:val="0"/>
          <w:marTop w:val="0"/>
          <w:marBottom w:val="0"/>
          <w:divBdr>
            <w:top w:val="none" w:sz="0" w:space="0" w:color="auto"/>
            <w:left w:val="none" w:sz="0" w:space="0" w:color="auto"/>
            <w:bottom w:val="none" w:sz="0" w:space="0" w:color="auto"/>
            <w:right w:val="none" w:sz="0" w:space="0" w:color="auto"/>
          </w:divBdr>
          <w:divsChild>
            <w:div w:id="135492358">
              <w:marLeft w:val="0"/>
              <w:marRight w:val="0"/>
              <w:marTop w:val="0"/>
              <w:marBottom w:val="0"/>
              <w:divBdr>
                <w:top w:val="none" w:sz="0" w:space="0" w:color="auto"/>
                <w:left w:val="none" w:sz="0" w:space="0" w:color="auto"/>
                <w:bottom w:val="none" w:sz="0" w:space="0" w:color="auto"/>
                <w:right w:val="none" w:sz="0" w:space="0" w:color="auto"/>
              </w:divBdr>
              <w:divsChild>
                <w:div w:id="298220282">
                  <w:marLeft w:val="0"/>
                  <w:marRight w:val="0"/>
                  <w:marTop w:val="0"/>
                  <w:marBottom w:val="0"/>
                  <w:divBdr>
                    <w:top w:val="none" w:sz="0" w:space="0" w:color="auto"/>
                    <w:left w:val="none" w:sz="0" w:space="0" w:color="auto"/>
                    <w:bottom w:val="none" w:sz="0" w:space="0" w:color="auto"/>
                    <w:right w:val="none" w:sz="0" w:space="0" w:color="auto"/>
                  </w:divBdr>
                  <w:divsChild>
                    <w:div w:id="127344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670865">
              <w:marLeft w:val="0"/>
              <w:marRight w:val="0"/>
              <w:marTop w:val="0"/>
              <w:marBottom w:val="0"/>
              <w:divBdr>
                <w:top w:val="none" w:sz="0" w:space="0" w:color="auto"/>
                <w:left w:val="none" w:sz="0" w:space="0" w:color="auto"/>
                <w:bottom w:val="none" w:sz="0" w:space="0" w:color="auto"/>
                <w:right w:val="none" w:sz="0" w:space="0" w:color="auto"/>
              </w:divBdr>
              <w:divsChild>
                <w:div w:id="1382678822">
                  <w:marLeft w:val="0"/>
                  <w:marRight w:val="0"/>
                  <w:marTop w:val="0"/>
                  <w:marBottom w:val="0"/>
                  <w:divBdr>
                    <w:top w:val="none" w:sz="0" w:space="0" w:color="auto"/>
                    <w:left w:val="none" w:sz="0" w:space="0" w:color="auto"/>
                    <w:bottom w:val="none" w:sz="0" w:space="0" w:color="auto"/>
                    <w:right w:val="none" w:sz="0" w:space="0" w:color="auto"/>
                  </w:divBdr>
                </w:div>
              </w:divsChild>
            </w:div>
            <w:div w:id="226185239">
              <w:marLeft w:val="0"/>
              <w:marRight w:val="0"/>
              <w:marTop w:val="0"/>
              <w:marBottom w:val="0"/>
              <w:divBdr>
                <w:top w:val="none" w:sz="0" w:space="0" w:color="auto"/>
                <w:left w:val="none" w:sz="0" w:space="0" w:color="auto"/>
                <w:bottom w:val="none" w:sz="0" w:space="0" w:color="auto"/>
                <w:right w:val="none" w:sz="0" w:space="0" w:color="auto"/>
              </w:divBdr>
              <w:divsChild>
                <w:div w:id="1673993261">
                  <w:marLeft w:val="0"/>
                  <w:marRight w:val="0"/>
                  <w:marTop w:val="0"/>
                  <w:marBottom w:val="0"/>
                  <w:divBdr>
                    <w:top w:val="none" w:sz="0" w:space="0" w:color="auto"/>
                    <w:left w:val="none" w:sz="0" w:space="0" w:color="auto"/>
                    <w:bottom w:val="none" w:sz="0" w:space="0" w:color="auto"/>
                    <w:right w:val="none" w:sz="0" w:space="0" w:color="auto"/>
                  </w:divBdr>
                </w:div>
              </w:divsChild>
            </w:div>
            <w:div w:id="457380648">
              <w:marLeft w:val="0"/>
              <w:marRight w:val="0"/>
              <w:marTop w:val="0"/>
              <w:marBottom w:val="0"/>
              <w:divBdr>
                <w:top w:val="none" w:sz="0" w:space="0" w:color="auto"/>
                <w:left w:val="none" w:sz="0" w:space="0" w:color="auto"/>
                <w:bottom w:val="none" w:sz="0" w:space="0" w:color="auto"/>
                <w:right w:val="none" w:sz="0" w:space="0" w:color="auto"/>
              </w:divBdr>
              <w:divsChild>
                <w:div w:id="331835043">
                  <w:marLeft w:val="0"/>
                  <w:marRight w:val="0"/>
                  <w:marTop w:val="0"/>
                  <w:marBottom w:val="0"/>
                  <w:divBdr>
                    <w:top w:val="none" w:sz="0" w:space="0" w:color="auto"/>
                    <w:left w:val="none" w:sz="0" w:space="0" w:color="auto"/>
                    <w:bottom w:val="none" w:sz="0" w:space="0" w:color="auto"/>
                    <w:right w:val="none" w:sz="0" w:space="0" w:color="auto"/>
                  </w:divBdr>
                  <w:divsChild>
                    <w:div w:id="52837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539772">
              <w:marLeft w:val="0"/>
              <w:marRight w:val="0"/>
              <w:marTop w:val="0"/>
              <w:marBottom w:val="0"/>
              <w:divBdr>
                <w:top w:val="none" w:sz="0" w:space="0" w:color="auto"/>
                <w:left w:val="none" w:sz="0" w:space="0" w:color="auto"/>
                <w:bottom w:val="none" w:sz="0" w:space="0" w:color="auto"/>
                <w:right w:val="none" w:sz="0" w:space="0" w:color="auto"/>
              </w:divBdr>
              <w:divsChild>
                <w:div w:id="1007753909">
                  <w:marLeft w:val="0"/>
                  <w:marRight w:val="0"/>
                  <w:marTop w:val="0"/>
                  <w:marBottom w:val="0"/>
                  <w:divBdr>
                    <w:top w:val="none" w:sz="0" w:space="0" w:color="auto"/>
                    <w:left w:val="none" w:sz="0" w:space="0" w:color="auto"/>
                    <w:bottom w:val="none" w:sz="0" w:space="0" w:color="auto"/>
                    <w:right w:val="none" w:sz="0" w:space="0" w:color="auto"/>
                  </w:divBdr>
                </w:div>
              </w:divsChild>
            </w:div>
            <w:div w:id="802036950">
              <w:marLeft w:val="0"/>
              <w:marRight w:val="0"/>
              <w:marTop w:val="0"/>
              <w:marBottom w:val="0"/>
              <w:divBdr>
                <w:top w:val="none" w:sz="0" w:space="0" w:color="auto"/>
                <w:left w:val="none" w:sz="0" w:space="0" w:color="auto"/>
                <w:bottom w:val="none" w:sz="0" w:space="0" w:color="auto"/>
                <w:right w:val="none" w:sz="0" w:space="0" w:color="auto"/>
              </w:divBdr>
              <w:divsChild>
                <w:div w:id="1349520523">
                  <w:marLeft w:val="0"/>
                  <w:marRight w:val="0"/>
                  <w:marTop w:val="0"/>
                  <w:marBottom w:val="0"/>
                  <w:divBdr>
                    <w:top w:val="none" w:sz="0" w:space="0" w:color="auto"/>
                    <w:left w:val="none" w:sz="0" w:space="0" w:color="auto"/>
                    <w:bottom w:val="none" w:sz="0" w:space="0" w:color="auto"/>
                    <w:right w:val="none" w:sz="0" w:space="0" w:color="auto"/>
                  </w:divBdr>
                </w:div>
              </w:divsChild>
            </w:div>
            <w:div w:id="822891317">
              <w:marLeft w:val="0"/>
              <w:marRight w:val="0"/>
              <w:marTop w:val="0"/>
              <w:marBottom w:val="0"/>
              <w:divBdr>
                <w:top w:val="none" w:sz="0" w:space="0" w:color="auto"/>
                <w:left w:val="none" w:sz="0" w:space="0" w:color="auto"/>
                <w:bottom w:val="none" w:sz="0" w:space="0" w:color="auto"/>
                <w:right w:val="none" w:sz="0" w:space="0" w:color="auto"/>
              </w:divBdr>
              <w:divsChild>
                <w:div w:id="615261281">
                  <w:marLeft w:val="0"/>
                  <w:marRight w:val="0"/>
                  <w:marTop w:val="0"/>
                  <w:marBottom w:val="0"/>
                  <w:divBdr>
                    <w:top w:val="none" w:sz="0" w:space="0" w:color="auto"/>
                    <w:left w:val="none" w:sz="0" w:space="0" w:color="auto"/>
                    <w:bottom w:val="none" w:sz="0" w:space="0" w:color="auto"/>
                    <w:right w:val="none" w:sz="0" w:space="0" w:color="auto"/>
                  </w:divBdr>
                  <w:divsChild>
                    <w:div w:id="68813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228743">
              <w:marLeft w:val="0"/>
              <w:marRight w:val="0"/>
              <w:marTop w:val="0"/>
              <w:marBottom w:val="0"/>
              <w:divBdr>
                <w:top w:val="none" w:sz="0" w:space="0" w:color="auto"/>
                <w:left w:val="none" w:sz="0" w:space="0" w:color="auto"/>
                <w:bottom w:val="none" w:sz="0" w:space="0" w:color="auto"/>
                <w:right w:val="none" w:sz="0" w:space="0" w:color="auto"/>
              </w:divBdr>
              <w:divsChild>
                <w:div w:id="878469272">
                  <w:marLeft w:val="0"/>
                  <w:marRight w:val="0"/>
                  <w:marTop w:val="0"/>
                  <w:marBottom w:val="0"/>
                  <w:divBdr>
                    <w:top w:val="none" w:sz="0" w:space="0" w:color="auto"/>
                    <w:left w:val="none" w:sz="0" w:space="0" w:color="auto"/>
                    <w:bottom w:val="none" w:sz="0" w:space="0" w:color="auto"/>
                    <w:right w:val="none" w:sz="0" w:space="0" w:color="auto"/>
                  </w:divBdr>
                </w:div>
              </w:divsChild>
            </w:div>
            <w:div w:id="1018853300">
              <w:marLeft w:val="0"/>
              <w:marRight w:val="0"/>
              <w:marTop w:val="0"/>
              <w:marBottom w:val="0"/>
              <w:divBdr>
                <w:top w:val="none" w:sz="0" w:space="0" w:color="auto"/>
                <w:left w:val="none" w:sz="0" w:space="0" w:color="auto"/>
                <w:bottom w:val="none" w:sz="0" w:space="0" w:color="auto"/>
                <w:right w:val="none" w:sz="0" w:space="0" w:color="auto"/>
              </w:divBdr>
              <w:divsChild>
                <w:div w:id="762650181">
                  <w:marLeft w:val="0"/>
                  <w:marRight w:val="0"/>
                  <w:marTop w:val="0"/>
                  <w:marBottom w:val="0"/>
                  <w:divBdr>
                    <w:top w:val="none" w:sz="0" w:space="0" w:color="auto"/>
                    <w:left w:val="none" w:sz="0" w:space="0" w:color="auto"/>
                    <w:bottom w:val="none" w:sz="0" w:space="0" w:color="auto"/>
                    <w:right w:val="none" w:sz="0" w:space="0" w:color="auto"/>
                  </w:divBdr>
                </w:div>
              </w:divsChild>
            </w:div>
            <w:div w:id="1241869004">
              <w:marLeft w:val="0"/>
              <w:marRight w:val="0"/>
              <w:marTop w:val="0"/>
              <w:marBottom w:val="0"/>
              <w:divBdr>
                <w:top w:val="none" w:sz="0" w:space="0" w:color="auto"/>
                <w:left w:val="none" w:sz="0" w:space="0" w:color="auto"/>
                <w:bottom w:val="none" w:sz="0" w:space="0" w:color="auto"/>
                <w:right w:val="none" w:sz="0" w:space="0" w:color="auto"/>
              </w:divBdr>
              <w:divsChild>
                <w:div w:id="814681825">
                  <w:marLeft w:val="0"/>
                  <w:marRight w:val="0"/>
                  <w:marTop w:val="0"/>
                  <w:marBottom w:val="0"/>
                  <w:divBdr>
                    <w:top w:val="none" w:sz="0" w:space="0" w:color="auto"/>
                    <w:left w:val="none" w:sz="0" w:space="0" w:color="auto"/>
                    <w:bottom w:val="none" w:sz="0" w:space="0" w:color="auto"/>
                    <w:right w:val="none" w:sz="0" w:space="0" w:color="auto"/>
                  </w:divBdr>
                  <w:divsChild>
                    <w:div w:id="10290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318994">
              <w:marLeft w:val="0"/>
              <w:marRight w:val="0"/>
              <w:marTop w:val="0"/>
              <w:marBottom w:val="0"/>
              <w:divBdr>
                <w:top w:val="none" w:sz="0" w:space="0" w:color="auto"/>
                <w:left w:val="none" w:sz="0" w:space="0" w:color="auto"/>
                <w:bottom w:val="none" w:sz="0" w:space="0" w:color="auto"/>
                <w:right w:val="none" w:sz="0" w:space="0" w:color="auto"/>
              </w:divBdr>
              <w:divsChild>
                <w:div w:id="156002306">
                  <w:marLeft w:val="0"/>
                  <w:marRight w:val="0"/>
                  <w:marTop w:val="0"/>
                  <w:marBottom w:val="0"/>
                  <w:divBdr>
                    <w:top w:val="none" w:sz="0" w:space="0" w:color="auto"/>
                    <w:left w:val="none" w:sz="0" w:space="0" w:color="auto"/>
                    <w:bottom w:val="none" w:sz="0" w:space="0" w:color="auto"/>
                    <w:right w:val="none" w:sz="0" w:space="0" w:color="auto"/>
                  </w:divBdr>
                  <w:divsChild>
                    <w:div w:id="146708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898805">
              <w:marLeft w:val="0"/>
              <w:marRight w:val="0"/>
              <w:marTop w:val="0"/>
              <w:marBottom w:val="0"/>
              <w:divBdr>
                <w:top w:val="none" w:sz="0" w:space="0" w:color="auto"/>
                <w:left w:val="none" w:sz="0" w:space="0" w:color="auto"/>
                <w:bottom w:val="none" w:sz="0" w:space="0" w:color="auto"/>
                <w:right w:val="none" w:sz="0" w:space="0" w:color="auto"/>
              </w:divBdr>
              <w:divsChild>
                <w:div w:id="1643997604">
                  <w:marLeft w:val="0"/>
                  <w:marRight w:val="0"/>
                  <w:marTop w:val="0"/>
                  <w:marBottom w:val="0"/>
                  <w:divBdr>
                    <w:top w:val="none" w:sz="0" w:space="0" w:color="auto"/>
                    <w:left w:val="none" w:sz="0" w:space="0" w:color="auto"/>
                    <w:bottom w:val="none" w:sz="0" w:space="0" w:color="auto"/>
                    <w:right w:val="none" w:sz="0" w:space="0" w:color="auto"/>
                  </w:divBdr>
                  <w:divsChild>
                    <w:div w:id="77917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599851">
              <w:marLeft w:val="0"/>
              <w:marRight w:val="0"/>
              <w:marTop w:val="0"/>
              <w:marBottom w:val="0"/>
              <w:divBdr>
                <w:top w:val="none" w:sz="0" w:space="0" w:color="auto"/>
                <w:left w:val="none" w:sz="0" w:space="0" w:color="auto"/>
                <w:bottom w:val="none" w:sz="0" w:space="0" w:color="auto"/>
                <w:right w:val="none" w:sz="0" w:space="0" w:color="auto"/>
              </w:divBdr>
              <w:divsChild>
                <w:div w:id="278994368">
                  <w:marLeft w:val="0"/>
                  <w:marRight w:val="0"/>
                  <w:marTop w:val="0"/>
                  <w:marBottom w:val="0"/>
                  <w:divBdr>
                    <w:top w:val="none" w:sz="0" w:space="0" w:color="auto"/>
                    <w:left w:val="none" w:sz="0" w:space="0" w:color="auto"/>
                    <w:bottom w:val="none" w:sz="0" w:space="0" w:color="auto"/>
                    <w:right w:val="none" w:sz="0" w:space="0" w:color="auto"/>
                  </w:divBdr>
                </w:div>
              </w:divsChild>
            </w:div>
            <w:div w:id="1748460974">
              <w:marLeft w:val="0"/>
              <w:marRight w:val="0"/>
              <w:marTop w:val="0"/>
              <w:marBottom w:val="0"/>
              <w:divBdr>
                <w:top w:val="none" w:sz="0" w:space="0" w:color="auto"/>
                <w:left w:val="none" w:sz="0" w:space="0" w:color="auto"/>
                <w:bottom w:val="none" w:sz="0" w:space="0" w:color="auto"/>
                <w:right w:val="none" w:sz="0" w:space="0" w:color="auto"/>
              </w:divBdr>
              <w:divsChild>
                <w:div w:id="1574774092">
                  <w:marLeft w:val="0"/>
                  <w:marRight w:val="0"/>
                  <w:marTop w:val="0"/>
                  <w:marBottom w:val="0"/>
                  <w:divBdr>
                    <w:top w:val="none" w:sz="0" w:space="0" w:color="auto"/>
                    <w:left w:val="none" w:sz="0" w:space="0" w:color="auto"/>
                    <w:bottom w:val="none" w:sz="0" w:space="0" w:color="auto"/>
                    <w:right w:val="none" w:sz="0" w:space="0" w:color="auto"/>
                  </w:divBdr>
                  <w:divsChild>
                    <w:div w:id="174918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808677">
              <w:marLeft w:val="0"/>
              <w:marRight w:val="0"/>
              <w:marTop w:val="0"/>
              <w:marBottom w:val="0"/>
              <w:divBdr>
                <w:top w:val="none" w:sz="0" w:space="0" w:color="auto"/>
                <w:left w:val="none" w:sz="0" w:space="0" w:color="auto"/>
                <w:bottom w:val="none" w:sz="0" w:space="0" w:color="auto"/>
                <w:right w:val="none" w:sz="0" w:space="0" w:color="auto"/>
              </w:divBdr>
              <w:divsChild>
                <w:div w:id="1701978958">
                  <w:marLeft w:val="0"/>
                  <w:marRight w:val="0"/>
                  <w:marTop w:val="0"/>
                  <w:marBottom w:val="0"/>
                  <w:divBdr>
                    <w:top w:val="none" w:sz="0" w:space="0" w:color="auto"/>
                    <w:left w:val="none" w:sz="0" w:space="0" w:color="auto"/>
                    <w:bottom w:val="none" w:sz="0" w:space="0" w:color="auto"/>
                    <w:right w:val="none" w:sz="0" w:space="0" w:color="auto"/>
                  </w:divBdr>
                  <w:divsChild>
                    <w:div w:id="88194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312401">
              <w:marLeft w:val="0"/>
              <w:marRight w:val="0"/>
              <w:marTop w:val="0"/>
              <w:marBottom w:val="0"/>
              <w:divBdr>
                <w:top w:val="none" w:sz="0" w:space="0" w:color="auto"/>
                <w:left w:val="none" w:sz="0" w:space="0" w:color="auto"/>
                <w:bottom w:val="none" w:sz="0" w:space="0" w:color="auto"/>
                <w:right w:val="none" w:sz="0" w:space="0" w:color="auto"/>
              </w:divBdr>
              <w:divsChild>
                <w:div w:id="143563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565312">
      <w:bodyDiv w:val="1"/>
      <w:marLeft w:val="0"/>
      <w:marRight w:val="0"/>
      <w:marTop w:val="0"/>
      <w:marBottom w:val="0"/>
      <w:divBdr>
        <w:top w:val="none" w:sz="0" w:space="0" w:color="auto"/>
        <w:left w:val="none" w:sz="0" w:space="0" w:color="auto"/>
        <w:bottom w:val="none" w:sz="0" w:space="0" w:color="auto"/>
        <w:right w:val="none" w:sz="0" w:space="0" w:color="auto"/>
      </w:divBdr>
    </w:div>
    <w:div w:id="261959519">
      <w:bodyDiv w:val="1"/>
      <w:marLeft w:val="0"/>
      <w:marRight w:val="0"/>
      <w:marTop w:val="0"/>
      <w:marBottom w:val="0"/>
      <w:divBdr>
        <w:top w:val="none" w:sz="0" w:space="0" w:color="auto"/>
        <w:left w:val="none" w:sz="0" w:space="0" w:color="auto"/>
        <w:bottom w:val="none" w:sz="0" w:space="0" w:color="auto"/>
        <w:right w:val="none" w:sz="0" w:space="0" w:color="auto"/>
      </w:divBdr>
      <w:divsChild>
        <w:div w:id="1031613763">
          <w:marLeft w:val="0"/>
          <w:marRight w:val="0"/>
          <w:marTop w:val="0"/>
          <w:marBottom w:val="0"/>
          <w:divBdr>
            <w:top w:val="none" w:sz="0" w:space="0" w:color="auto"/>
            <w:left w:val="none" w:sz="0" w:space="0" w:color="auto"/>
            <w:bottom w:val="none" w:sz="0" w:space="0" w:color="auto"/>
            <w:right w:val="none" w:sz="0" w:space="0" w:color="auto"/>
          </w:divBdr>
          <w:divsChild>
            <w:div w:id="908342751">
              <w:marLeft w:val="0"/>
              <w:marRight w:val="0"/>
              <w:marTop w:val="0"/>
              <w:marBottom w:val="0"/>
              <w:divBdr>
                <w:top w:val="none" w:sz="0" w:space="0" w:color="auto"/>
                <w:left w:val="none" w:sz="0" w:space="0" w:color="auto"/>
                <w:bottom w:val="none" w:sz="0" w:space="0" w:color="auto"/>
                <w:right w:val="none" w:sz="0" w:space="0" w:color="auto"/>
              </w:divBdr>
              <w:divsChild>
                <w:div w:id="853769566">
                  <w:marLeft w:val="0"/>
                  <w:marRight w:val="0"/>
                  <w:marTop w:val="0"/>
                  <w:marBottom w:val="0"/>
                  <w:divBdr>
                    <w:top w:val="none" w:sz="0" w:space="0" w:color="auto"/>
                    <w:left w:val="none" w:sz="0" w:space="0" w:color="auto"/>
                    <w:bottom w:val="none" w:sz="0" w:space="0" w:color="auto"/>
                    <w:right w:val="none" w:sz="0" w:space="0" w:color="auto"/>
                  </w:divBdr>
                  <w:divsChild>
                    <w:div w:id="1371803006">
                      <w:marLeft w:val="0"/>
                      <w:marRight w:val="0"/>
                      <w:marTop w:val="0"/>
                      <w:marBottom w:val="0"/>
                      <w:divBdr>
                        <w:top w:val="none" w:sz="0" w:space="0" w:color="auto"/>
                        <w:left w:val="none" w:sz="0" w:space="0" w:color="auto"/>
                        <w:bottom w:val="none" w:sz="0" w:space="0" w:color="auto"/>
                        <w:right w:val="none" w:sz="0" w:space="0" w:color="auto"/>
                      </w:divBdr>
                      <w:divsChild>
                        <w:div w:id="1483154617">
                          <w:marLeft w:val="0"/>
                          <w:marRight w:val="0"/>
                          <w:marTop w:val="0"/>
                          <w:marBottom w:val="0"/>
                          <w:divBdr>
                            <w:top w:val="none" w:sz="0" w:space="0" w:color="auto"/>
                            <w:left w:val="none" w:sz="0" w:space="0" w:color="auto"/>
                            <w:bottom w:val="none" w:sz="0" w:space="0" w:color="auto"/>
                            <w:right w:val="none" w:sz="0" w:space="0" w:color="auto"/>
                          </w:divBdr>
                          <w:divsChild>
                            <w:div w:id="2079596759">
                              <w:marLeft w:val="0"/>
                              <w:marRight w:val="0"/>
                              <w:marTop w:val="0"/>
                              <w:marBottom w:val="0"/>
                              <w:divBdr>
                                <w:top w:val="none" w:sz="0" w:space="0" w:color="auto"/>
                                <w:left w:val="none" w:sz="0" w:space="0" w:color="auto"/>
                                <w:bottom w:val="none" w:sz="0" w:space="0" w:color="auto"/>
                                <w:right w:val="none" w:sz="0" w:space="0" w:color="auto"/>
                              </w:divBdr>
                              <w:divsChild>
                                <w:div w:id="104732727">
                                  <w:marLeft w:val="0"/>
                                  <w:marRight w:val="0"/>
                                  <w:marTop w:val="0"/>
                                  <w:marBottom w:val="0"/>
                                  <w:divBdr>
                                    <w:top w:val="none" w:sz="0" w:space="0" w:color="auto"/>
                                    <w:left w:val="none" w:sz="0" w:space="0" w:color="auto"/>
                                    <w:bottom w:val="none" w:sz="0" w:space="0" w:color="auto"/>
                                    <w:right w:val="none" w:sz="0" w:space="0" w:color="auto"/>
                                  </w:divBdr>
                                  <w:divsChild>
                                    <w:div w:id="1075199874">
                                      <w:marLeft w:val="0"/>
                                      <w:marRight w:val="0"/>
                                      <w:marTop w:val="0"/>
                                      <w:marBottom w:val="0"/>
                                      <w:divBdr>
                                        <w:top w:val="none" w:sz="0" w:space="0" w:color="auto"/>
                                        <w:left w:val="none" w:sz="0" w:space="0" w:color="auto"/>
                                        <w:bottom w:val="none" w:sz="0" w:space="0" w:color="auto"/>
                                        <w:right w:val="none" w:sz="0" w:space="0" w:color="auto"/>
                                      </w:divBdr>
                                      <w:divsChild>
                                        <w:div w:id="175180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6346160">
          <w:marLeft w:val="0"/>
          <w:marRight w:val="0"/>
          <w:marTop w:val="0"/>
          <w:marBottom w:val="0"/>
          <w:divBdr>
            <w:top w:val="none" w:sz="0" w:space="0" w:color="auto"/>
            <w:left w:val="none" w:sz="0" w:space="0" w:color="auto"/>
            <w:bottom w:val="none" w:sz="0" w:space="0" w:color="auto"/>
            <w:right w:val="none" w:sz="0" w:space="0" w:color="auto"/>
          </w:divBdr>
          <w:divsChild>
            <w:div w:id="691031299">
              <w:marLeft w:val="0"/>
              <w:marRight w:val="0"/>
              <w:marTop w:val="0"/>
              <w:marBottom w:val="0"/>
              <w:divBdr>
                <w:top w:val="none" w:sz="0" w:space="0" w:color="auto"/>
                <w:left w:val="none" w:sz="0" w:space="0" w:color="auto"/>
                <w:bottom w:val="none" w:sz="0" w:space="0" w:color="auto"/>
                <w:right w:val="none" w:sz="0" w:space="0" w:color="auto"/>
              </w:divBdr>
              <w:divsChild>
                <w:div w:id="770320324">
                  <w:marLeft w:val="0"/>
                  <w:marRight w:val="0"/>
                  <w:marTop w:val="0"/>
                  <w:marBottom w:val="0"/>
                  <w:divBdr>
                    <w:top w:val="none" w:sz="0" w:space="0" w:color="auto"/>
                    <w:left w:val="none" w:sz="0" w:space="0" w:color="auto"/>
                    <w:bottom w:val="none" w:sz="0" w:space="0" w:color="auto"/>
                    <w:right w:val="none" w:sz="0" w:space="0" w:color="auto"/>
                  </w:divBdr>
                  <w:divsChild>
                    <w:div w:id="322901972">
                      <w:marLeft w:val="0"/>
                      <w:marRight w:val="0"/>
                      <w:marTop w:val="0"/>
                      <w:marBottom w:val="0"/>
                      <w:divBdr>
                        <w:top w:val="none" w:sz="0" w:space="0" w:color="auto"/>
                        <w:left w:val="none" w:sz="0" w:space="0" w:color="auto"/>
                        <w:bottom w:val="none" w:sz="0" w:space="0" w:color="auto"/>
                        <w:right w:val="none" w:sz="0" w:space="0" w:color="auto"/>
                      </w:divBdr>
                      <w:divsChild>
                        <w:div w:id="1791585605">
                          <w:marLeft w:val="0"/>
                          <w:marRight w:val="0"/>
                          <w:marTop w:val="0"/>
                          <w:marBottom w:val="0"/>
                          <w:divBdr>
                            <w:top w:val="none" w:sz="0" w:space="0" w:color="auto"/>
                            <w:left w:val="none" w:sz="0" w:space="0" w:color="auto"/>
                            <w:bottom w:val="none" w:sz="0" w:space="0" w:color="auto"/>
                            <w:right w:val="none" w:sz="0" w:space="0" w:color="auto"/>
                          </w:divBdr>
                          <w:divsChild>
                            <w:div w:id="1873028848">
                              <w:marLeft w:val="0"/>
                              <w:marRight w:val="0"/>
                              <w:marTop w:val="0"/>
                              <w:marBottom w:val="0"/>
                              <w:divBdr>
                                <w:top w:val="none" w:sz="0" w:space="0" w:color="auto"/>
                                <w:left w:val="none" w:sz="0" w:space="0" w:color="auto"/>
                                <w:bottom w:val="none" w:sz="0" w:space="0" w:color="auto"/>
                                <w:right w:val="none" w:sz="0" w:space="0" w:color="auto"/>
                              </w:divBdr>
                              <w:divsChild>
                                <w:div w:id="1113403959">
                                  <w:marLeft w:val="0"/>
                                  <w:marRight w:val="0"/>
                                  <w:marTop w:val="0"/>
                                  <w:marBottom w:val="0"/>
                                  <w:divBdr>
                                    <w:top w:val="none" w:sz="0" w:space="0" w:color="auto"/>
                                    <w:left w:val="none" w:sz="0" w:space="0" w:color="auto"/>
                                    <w:bottom w:val="none" w:sz="0" w:space="0" w:color="auto"/>
                                    <w:right w:val="none" w:sz="0" w:space="0" w:color="auto"/>
                                  </w:divBdr>
                                  <w:divsChild>
                                    <w:div w:id="83226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5871537">
      <w:bodyDiv w:val="1"/>
      <w:marLeft w:val="0"/>
      <w:marRight w:val="0"/>
      <w:marTop w:val="0"/>
      <w:marBottom w:val="0"/>
      <w:divBdr>
        <w:top w:val="none" w:sz="0" w:space="0" w:color="auto"/>
        <w:left w:val="none" w:sz="0" w:space="0" w:color="auto"/>
        <w:bottom w:val="none" w:sz="0" w:space="0" w:color="auto"/>
        <w:right w:val="none" w:sz="0" w:space="0" w:color="auto"/>
      </w:divBdr>
    </w:div>
    <w:div w:id="283508887">
      <w:bodyDiv w:val="1"/>
      <w:marLeft w:val="0"/>
      <w:marRight w:val="0"/>
      <w:marTop w:val="0"/>
      <w:marBottom w:val="0"/>
      <w:divBdr>
        <w:top w:val="none" w:sz="0" w:space="0" w:color="auto"/>
        <w:left w:val="none" w:sz="0" w:space="0" w:color="auto"/>
        <w:bottom w:val="none" w:sz="0" w:space="0" w:color="auto"/>
        <w:right w:val="none" w:sz="0" w:space="0" w:color="auto"/>
      </w:divBdr>
    </w:div>
    <w:div w:id="303976235">
      <w:bodyDiv w:val="1"/>
      <w:marLeft w:val="0"/>
      <w:marRight w:val="0"/>
      <w:marTop w:val="0"/>
      <w:marBottom w:val="0"/>
      <w:divBdr>
        <w:top w:val="none" w:sz="0" w:space="0" w:color="auto"/>
        <w:left w:val="none" w:sz="0" w:space="0" w:color="auto"/>
        <w:bottom w:val="none" w:sz="0" w:space="0" w:color="auto"/>
        <w:right w:val="none" w:sz="0" w:space="0" w:color="auto"/>
      </w:divBdr>
    </w:div>
    <w:div w:id="341052556">
      <w:bodyDiv w:val="1"/>
      <w:marLeft w:val="0"/>
      <w:marRight w:val="0"/>
      <w:marTop w:val="0"/>
      <w:marBottom w:val="0"/>
      <w:divBdr>
        <w:top w:val="none" w:sz="0" w:space="0" w:color="auto"/>
        <w:left w:val="none" w:sz="0" w:space="0" w:color="auto"/>
        <w:bottom w:val="none" w:sz="0" w:space="0" w:color="auto"/>
        <w:right w:val="none" w:sz="0" w:space="0" w:color="auto"/>
      </w:divBdr>
    </w:div>
    <w:div w:id="343477812">
      <w:bodyDiv w:val="1"/>
      <w:marLeft w:val="0"/>
      <w:marRight w:val="0"/>
      <w:marTop w:val="0"/>
      <w:marBottom w:val="0"/>
      <w:divBdr>
        <w:top w:val="none" w:sz="0" w:space="0" w:color="auto"/>
        <w:left w:val="none" w:sz="0" w:space="0" w:color="auto"/>
        <w:bottom w:val="none" w:sz="0" w:space="0" w:color="auto"/>
        <w:right w:val="none" w:sz="0" w:space="0" w:color="auto"/>
      </w:divBdr>
    </w:div>
    <w:div w:id="344672739">
      <w:bodyDiv w:val="1"/>
      <w:marLeft w:val="0"/>
      <w:marRight w:val="0"/>
      <w:marTop w:val="0"/>
      <w:marBottom w:val="0"/>
      <w:divBdr>
        <w:top w:val="none" w:sz="0" w:space="0" w:color="auto"/>
        <w:left w:val="none" w:sz="0" w:space="0" w:color="auto"/>
        <w:bottom w:val="none" w:sz="0" w:space="0" w:color="auto"/>
        <w:right w:val="none" w:sz="0" w:space="0" w:color="auto"/>
      </w:divBdr>
      <w:divsChild>
        <w:div w:id="1043022012">
          <w:marLeft w:val="0"/>
          <w:marRight w:val="0"/>
          <w:marTop w:val="0"/>
          <w:marBottom w:val="0"/>
          <w:divBdr>
            <w:top w:val="none" w:sz="0" w:space="0" w:color="auto"/>
            <w:left w:val="none" w:sz="0" w:space="0" w:color="auto"/>
            <w:bottom w:val="none" w:sz="0" w:space="0" w:color="auto"/>
            <w:right w:val="none" w:sz="0" w:space="0" w:color="auto"/>
          </w:divBdr>
        </w:div>
      </w:divsChild>
    </w:div>
    <w:div w:id="347491403">
      <w:bodyDiv w:val="1"/>
      <w:marLeft w:val="0"/>
      <w:marRight w:val="0"/>
      <w:marTop w:val="0"/>
      <w:marBottom w:val="0"/>
      <w:divBdr>
        <w:top w:val="none" w:sz="0" w:space="0" w:color="auto"/>
        <w:left w:val="none" w:sz="0" w:space="0" w:color="auto"/>
        <w:bottom w:val="none" w:sz="0" w:space="0" w:color="auto"/>
        <w:right w:val="none" w:sz="0" w:space="0" w:color="auto"/>
      </w:divBdr>
      <w:divsChild>
        <w:div w:id="1055812379">
          <w:marLeft w:val="0"/>
          <w:marRight w:val="0"/>
          <w:marTop w:val="0"/>
          <w:marBottom w:val="0"/>
          <w:divBdr>
            <w:top w:val="none" w:sz="0" w:space="0" w:color="auto"/>
            <w:left w:val="none" w:sz="0" w:space="0" w:color="auto"/>
            <w:bottom w:val="none" w:sz="0" w:space="0" w:color="auto"/>
            <w:right w:val="none" w:sz="0" w:space="0" w:color="auto"/>
          </w:divBdr>
          <w:divsChild>
            <w:div w:id="1256130839">
              <w:marLeft w:val="0"/>
              <w:marRight w:val="0"/>
              <w:marTop w:val="0"/>
              <w:marBottom w:val="0"/>
              <w:divBdr>
                <w:top w:val="none" w:sz="0" w:space="0" w:color="auto"/>
                <w:left w:val="none" w:sz="0" w:space="0" w:color="auto"/>
                <w:bottom w:val="none" w:sz="0" w:space="0" w:color="auto"/>
                <w:right w:val="none" w:sz="0" w:space="0" w:color="auto"/>
              </w:divBdr>
              <w:divsChild>
                <w:div w:id="13654698">
                  <w:marLeft w:val="0"/>
                  <w:marRight w:val="0"/>
                  <w:marTop w:val="0"/>
                  <w:marBottom w:val="0"/>
                  <w:divBdr>
                    <w:top w:val="none" w:sz="0" w:space="0" w:color="auto"/>
                    <w:left w:val="none" w:sz="0" w:space="0" w:color="auto"/>
                    <w:bottom w:val="none" w:sz="0" w:space="0" w:color="auto"/>
                    <w:right w:val="none" w:sz="0" w:space="0" w:color="auto"/>
                  </w:divBdr>
                  <w:divsChild>
                    <w:div w:id="1537278679">
                      <w:marLeft w:val="0"/>
                      <w:marRight w:val="0"/>
                      <w:marTop w:val="0"/>
                      <w:marBottom w:val="0"/>
                      <w:divBdr>
                        <w:top w:val="none" w:sz="0" w:space="0" w:color="auto"/>
                        <w:left w:val="none" w:sz="0" w:space="0" w:color="auto"/>
                        <w:bottom w:val="none" w:sz="0" w:space="0" w:color="auto"/>
                        <w:right w:val="none" w:sz="0" w:space="0" w:color="auto"/>
                      </w:divBdr>
                      <w:divsChild>
                        <w:div w:id="906694856">
                          <w:marLeft w:val="0"/>
                          <w:marRight w:val="0"/>
                          <w:marTop w:val="0"/>
                          <w:marBottom w:val="0"/>
                          <w:divBdr>
                            <w:top w:val="none" w:sz="0" w:space="0" w:color="auto"/>
                            <w:left w:val="none" w:sz="0" w:space="0" w:color="auto"/>
                            <w:bottom w:val="none" w:sz="0" w:space="0" w:color="auto"/>
                            <w:right w:val="none" w:sz="0" w:space="0" w:color="auto"/>
                          </w:divBdr>
                          <w:divsChild>
                            <w:div w:id="1770390593">
                              <w:marLeft w:val="0"/>
                              <w:marRight w:val="0"/>
                              <w:marTop w:val="0"/>
                              <w:marBottom w:val="0"/>
                              <w:divBdr>
                                <w:top w:val="none" w:sz="0" w:space="0" w:color="auto"/>
                                <w:left w:val="none" w:sz="0" w:space="0" w:color="auto"/>
                                <w:bottom w:val="none" w:sz="0" w:space="0" w:color="auto"/>
                                <w:right w:val="none" w:sz="0" w:space="0" w:color="auto"/>
                              </w:divBdr>
                              <w:divsChild>
                                <w:div w:id="1801802033">
                                  <w:marLeft w:val="0"/>
                                  <w:marRight w:val="0"/>
                                  <w:marTop w:val="0"/>
                                  <w:marBottom w:val="0"/>
                                  <w:divBdr>
                                    <w:top w:val="none" w:sz="0" w:space="0" w:color="auto"/>
                                    <w:left w:val="none" w:sz="0" w:space="0" w:color="auto"/>
                                    <w:bottom w:val="none" w:sz="0" w:space="0" w:color="auto"/>
                                    <w:right w:val="none" w:sz="0" w:space="0" w:color="auto"/>
                                  </w:divBdr>
                                  <w:divsChild>
                                    <w:div w:id="1345865269">
                                      <w:marLeft w:val="0"/>
                                      <w:marRight w:val="0"/>
                                      <w:marTop w:val="0"/>
                                      <w:marBottom w:val="0"/>
                                      <w:divBdr>
                                        <w:top w:val="none" w:sz="0" w:space="0" w:color="auto"/>
                                        <w:left w:val="none" w:sz="0" w:space="0" w:color="auto"/>
                                        <w:bottom w:val="none" w:sz="0" w:space="0" w:color="auto"/>
                                        <w:right w:val="none" w:sz="0" w:space="0" w:color="auto"/>
                                      </w:divBdr>
                                      <w:divsChild>
                                        <w:div w:id="1865972833">
                                          <w:marLeft w:val="0"/>
                                          <w:marRight w:val="0"/>
                                          <w:marTop w:val="0"/>
                                          <w:marBottom w:val="0"/>
                                          <w:divBdr>
                                            <w:top w:val="none" w:sz="0" w:space="0" w:color="auto"/>
                                            <w:left w:val="none" w:sz="0" w:space="0" w:color="auto"/>
                                            <w:bottom w:val="none" w:sz="0" w:space="0" w:color="auto"/>
                                            <w:right w:val="none" w:sz="0" w:space="0" w:color="auto"/>
                                          </w:divBdr>
                                          <w:divsChild>
                                            <w:div w:id="1602448915">
                                              <w:marLeft w:val="0"/>
                                              <w:marRight w:val="0"/>
                                              <w:marTop w:val="0"/>
                                              <w:marBottom w:val="0"/>
                                              <w:divBdr>
                                                <w:top w:val="none" w:sz="0" w:space="0" w:color="auto"/>
                                                <w:left w:val="none" w:sz="0" w:space="0" w:color="auto"/>
                                                <w:bottom w:val="none" w:sz="0" w:space="0" w:color="auto"/>
                                                <w:right w:val="none" w:sz="0" w:space="0" w:color="auto"/>
                                              </w:divBdr>
                                              <w:divsChild>
                                                <w:div w:id="1820532173">
                                                  <w:marLeft w:val="0"/>
                                                  <w:marRight w:val="0"/>
                                                  <w:marTop w:val="0"/>
                                                  <w:marBottom w:val="0"/>
                                                  <w:divBdr>
                                                    <w:top w:val="none" w:sz="0" w:space="0" w:color="auto"/>
                                                    <w:left w:val="none" w:sz="0" w:space="0" w:color="auto"/>
                                                    <w:bottom w:val="none" w:sz="0" w:space="0" w:color="auto"/>
                                                    <w:right w:val="none" w:sz="0" w:space="0" w:color="auto"/>
                                                  </w:divBdr>
                                                  <w:divsChild>
                                                    <w:div w:id="1572428242">
                                                      <w:marLeft w:val="0"/>
                                                      <w:marRight w:val="0"/>
                                                      <w:marTop w:val="0"/>
                                                      <w:marBottom w:val="0"/>
                                                      <w:divBdr>
                                                        <w:top w:val="none" w:sz="0" w:space="0" w:color="auto"/>
                                                        <w:left w:val="none" w:sz="0" w:space="0" w:color="auto"/>
                                                        <w:bottom w:val="none" w:sz="0" w:space="0" w:color="auto"/>
                                                        <w:right w:val="none" w:sz="0" w:space="0" w:color="auto"/>
                                                      </w:divBdr>
                                                      <w:divsChild>
                                                        <w:div w:id="162904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2199766">
                          <w:marLeft w:val="0"/>
                          <w:marRight w:val="0"/>
                          <w:marTop w:val="0"/>
                          <w:marBottom w:val="0"/>
                          <w:divBdr>
                            <w:top w:val="none" w:sz="0" w:space="0" w:color="auto"/>
                            <w:left w:val="none" w:sz="0" w:space="0" w:color="auto"/>
                            <w:bottom w:val="none" w:sz="0" w:space="0" w:color="auto"/>
                            <w:right w:val="none" w:sz="0" w:space="0" w:color="auto"/>
                          </w:divBdr>
                          <w:divsChild>
                            <w:div w:id="1929271360">
                              <w:marLeft w:val="0"/>
                              <w:marRight w:val="0"/>
                              <w:marTop w:val="0"/>
                              <w:marBottom w:val="0"/>
                              <w:divBdr>
                                <w:top w:val="none" w:sz="0" w:space="0" w:color="auto"/>
                                <w:left w:val="none" w:sz="0" w:space="0" w:color="auto"/>
                                <w:bottom w:val="none" w:sz="0" w:space="0" w:color="auto"/>
                                <w:right w:val="none" w:sz="0" w:space="0" w:color="auto"/>
                              </w:divBdr>
                              <w:divsChild>
                                <w:div w:id="1686323701">
                                  <w:marLeft w:val="0"/>
                                  <w:marRight w:val="0"/>
                                  <w:marTop w:val="0"/>
                                  <w:marBottom w:val="0"/>
                                  <w:divBdr>
                                    <w:top w:val="none" w:sz="0" w:space="0" w:color="auto"/>
                                    <w:left w:val="none" w:sz="0" w:space="0" w:color="auto"/>
                                    <w:bottom w:val="none" w:sz="0" w:space="0" w:color="auto"/>
                                    <w:right w:val="none" w:sz="0" w:space="0" w:color="auto"/>
                                  </w:divBdr>
                                  <w:divsChild>
                                    <w:div w:id="284850777">
                                      <w:marLeft w:val="0"/>
                                      <w:marRight w:val="0"/>
                                      <w:marTop w:val="0"/>
                                      <w:marBottom w:val="0"/>
                                      <w:divBdr>
                                        <w:top w:val="none" w:sz="0" w:space="0" w:color="auto"/>
                                        <w:left w:val="none" w:sz="0" w:space="0" w:color="auto"/>
                                        <w:bottom w:val="none" w:sz="0" w:space="0" w:color="auto"/>
                                        <w:right w:val="none" w:sz="0" w:space="0" w:color="auto"/>
                                      </w:divBdr>
                                      <w:divsChild>
                                        <w:div w:id="150761050">
                                          <w:marLeft w:val="0"/>
                                          <w:marRight w:val="0"/>
                                          <w:marTop w:val="0"/>
                                          <w:marBottom w:val="0"/>
                                          <w:divBdr>
                                            <w:top w:val="none" w:sz="0" w:space="0" w:color="auto"/>
                                            <w:left w:val="none" w:sz="0" w:space="0" w:color="auto"/>
                                            <w:bottom w:val="none" w:sz="0" w:space="0" w:color="auto"/>
                                            <w:right w:val="none" w:sz="0" w:space="0" w:color="auto"/>
                                          </w:divBdr>
                                          <w:divsChild>
                                            <w:div w:id="1862932602">
                                              <w:marLeft w:val="0"/>
                                              <w:marRight w:val="0"/>
                                              <w:marTop w:val="0"/>
                                              <w:marBottom w:val="0"/>
                                              <w:divBdr>
                                                <w:top w:val="none" w:sz="0" w:space="0" w:color="auto"/>
                                                <w:left w:val="none" w:sz="0" w:space="0" w:color="auto"/>
                                                <w:bottom w:val="none" w:sz="0" w:space="0" w:color="auto"/>
                                                <w:right w:val="none" w:sz="0" w:space="0" w:color="auto"/>
                                              </w:divBdr>
                                              <w:divsChild>
                                                <w:div w:id="1201550950">
                                                  <w:marLeft w:val="0"/>
                                                  <w:marRight w:val="0"/>
                                                  <w:marTop w:val="0"/>
                                                  <w:marBottom w:val="0"/>
                                                  <w:divBdr>
                                                    <w:top w:val="none" w:sz="0" w:space="0" w:color="auto"/>
                                                    <w:left w:val="none" w:sz="0" w:space="0" w:color="auto"/>
                                                    <w:bottom w:val="none" w:sz="0" w:space="0" w:color="auto"/>
                                                    <w:right w:val="none" w:sz="0" w:space="0" w:color="auto"/>
                                                  </w:divBdr>
                                                  <w:divsChild>
                                                    <w:div w:id="1281643791">
                                                      <w:marLeft w:val="0"/>
                                                      <w:marRight w:val="0"/>
                                                      <w:marTop w:val="0"/>
                                                      <w:marBottom w:val="0"/>
                                                      <w:divBdr>
                                                        <w:top w:val="none" w:sz="0" w:space="0" w:color="auto"/>
                                                        <w:left w:val="none" w:sz="0" w:space="0" w:color="auto"/>
                                                        <w:bottom w:val="none" w:sz="0" w:space="0" w:color="auto"/>
                                                        <w:right w:val="none" w:sz="0" w:space="0" w:color="auto"/>
                                                      </w:divBdr>
                                                      <w:divsChild>
                                                        <w:div w:id="15853380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8378167">
                          <w:marLeft w:val="0"/>
                          <w:marRight w:val="0"/>
                          <w:marTop w:val="0"/>
                          <w:marBottom w:val="0"/>
                          <w:divBdr>
                            <w:top w:val="none" w:sz="0" w:space="0" w:color="auto"/>
                            <w:left w:val="none" w:sz="0" w:space="0" w:color="auto"/>
                            <w:bottom w:val="none" w:sz="0" w:space="0" w:color="auto"/>
                            <w:right w:val="none" w:sz="0" w:space="0" w:color="auto"/>
                          </w:divBdr>
                          <w:divsChild>
                            <w:div w:id="345055702">
                              <w:marLeft w:val="0"/>
                              <w:marRight w:val="0"/>
                              <w:marTop w:val="0"/>
                              <w:marBottom w:val="0"/>
                              <w:divBdr>
                                <w:top w:val="none" w:sz="0" w:space="0" w:color="auto"/>
                                <w:left w:val="none" w:sz="0" w:space="0" w:color="auto"/>
                                <w:bottom w:val="none" w:sz="0" w:space="0" w:color="auto"/>
                                <w:right w:val="none" w:sz="0" w:space="0" w:color="auto"/>
                              </w:divBdr>
                              <w:divsChild>
                                <w:div w:id="1441804569">
                                  <w:marLeft w:val="0"/>
                                  <w:marRight w:val="0"/>
                                  <w:marTop w:val="0"/>
                                  <w:marBottom w:val="0"/>
                                  <w:divBdr>
                                    <w:top w:val="none" w:sz="0" w:space="0" w:color="auto"/>
                                    <w:left w:val="none" w:sz="0" w:space="0" w:color="auto"/>
                                    <w:bottom w:val="none" w:sz="0" w:space="0" w:color="auto"/>
                                    <w:right w:val="none" w:sz="0" w:space="0" w:color="auto"/>
                                  </w:divBdr>
                                  <w:divsChild>
                                    <w:div w:id="929503279">
                                      <w:marLeft w:val="0"/>
                                      <w:marRight w:val="0"/>
                                      <w:marTop w:val="0"/>
                                      <w:marBottom w:val="0"/>
                                      <w:divBdr>
                                        <w:top w:val="none" w:sz="0" w:space="0" w:color="auto"/>
                                        <w:left w:val="none" w:sz="0" w:space="0" w:color="auto"/>
                                        <w:bottom w:val="none" w:sz="0" w:space="0" w:color="auto"/>
                                        <w:right w:val="none" w:sz="0" w:space="0" w:color="auto"/>
                                      </w:divBdr>
                                      <w:divsChild>
                                        <w:div w:id="982662907">
                                          <w:marLeft w:val="0"/>
                                          <w:marRight w:val="0"/>
                                          <w:marTop w:val="0"/>
                                          <w:marBottom w:val="0"/>
                                          <w:divBdr>
                                            <w:top w:val="none" w:sz="0" w:space="0" w:color="auto"/>
                                            <w:left w:val="none" w:sz="0" w:space="0" w:color="auto"/>
                                            <w:bottom w:val="none" w:sz="0" w:space="0" w:color="auto"/>
                                            <w:right w:val="none" w:sz="0" w:space="0" w:color="auto"/>
                                          </w:divBdr>
                                          <w:divsChild>
                                            <w:div w:id="1814908081">
                                              <w:marLeft w:val="0"/>
                                              <w:marRight w:val="0"/>
                                              <w:marTop w:val="0"/>
                                              <w:marBottom w:val="0"/>
                                              <w:divBdr>
                                                <w:top w:val="none" w:sz="0" w:space="0" w:color="auto"/>
                                                <w:left w:val="none" w:sz="0" w:space="0" w:color="auto"/>
                                                <w:bottom w:val="none" w:sz="0" w:space="0" w:color="auto"/>
                                                <w:right w:val="none" w:sz="0" w:space="0" w:color="auto"/>
                                              </w:divBdr>
                                              <w:divsChild>
                                                <w:div w:id="1955823394">
                                                  <w:marLeft w:val="0"/>
                                                  <w:marRight w:val="0"/>
                                                  <w:marTop w:val="0"/>
                                                  <w:marBottom w:val="0"/>
                                                  <w:divBdr>
                                                    <w:top w:val="none" w:sz="0" w:space="0" w:color="auto"/>
                                                    <w:left w:val="none" w:sz="0" w:space="0" w:color="auto"/>
                                                    <w:bottom w:val="none" w:sz="0" w:space="0" w:color="auto"/>
                                                    <w:right w:val="none" w:sz="0" w:space="0" w:color="auto"/>
                                                  </w:divBdr>
                                                  <w:divsChild>
                                                    <w:div w:id="485977209">
                                                      <w:marLeft w:val="0"/>
                                                      <w:marRight w:val="0"/>
                                                      <w:marTop w:val="0"/>
                                                      <w:marBottom w:val="0"/>
                                                      <w:divBdr>
                                                        <w:top w:val="none" w:sz="0" w:space="0" w:color="auto"/>
                                                        <w:left w:val="none" w:sz="0" w:space="0" w:color="auto"/>
                                                        <w:bottom w:val="none" w:sz="0" w:space="0" w:color="auto"/>
                                                        <w:right w:val="none" w:sz="0" w:space="0" w:color="auto"/>
                                                      </w:divBdr>
                                                      <w:divsChild>
                                                        <w:div w:id="21412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4446178">
                          <w:marLeft w:val="0"/>
                          <w:marRight w:val="0"/>
                          <w:marTop w:val="0"/>
                          <w:marBottom w:val="0"/>
                          <w:divBdr>
                            <w:top w:val="none" w:sz="0" w:space="0" w:color="auto"/>
                            <w:left w:val="none" w:sz="0" w:space="0" w:color="auto"/>
                            <w:bottom w:val="none" w:sz="0" w:space="0" w:color="auto"/>
                            <w:right w:val="none" w:sz="0" w:space="0" w:color="auto"/>
                          </w:divBdr>
                          <w:divsChild>
                            <w:div w:id="650256988">
                              <w:marLeft w:val="0"/>
                              <w:marRight w:val="0"/>
                              <w:marTop w:val="0"/>
                              <w:marBottom w:val="0"/>
                              <w:divBdr>
                                <w:top w:val="none" w:sz="0" w:space="0" w:color="auto"/>
                                <w:left w:val="none" w:sz="0" w:space="0" w:color="auto"/>
                                <w:bottom w:val="none" w:sz="0" w:space="0" w:color="auto"/>
                                <w:right w:val="none" w:sz="0" w:space="0" w:color="auto"/>
                              </w:divBdr>
                              <w:divsChild>
                                <w:div w:id="930235414">
                                  <w:marLeft w:val="0"/>
                                  <w:marRight w:val="0"/>
                                  <w:marTop w:val="0"/>
                                  <w:marBottom w:val="0"/>
                                  <w:divBdr>
                                    <w:top w:val="none" w:sz="0" w:space="0" w:color="auto"/>
                                    <w:left w:val="none" w:sz="0" w:space="0" w:color="auto"/>
                                    <w:bottom w:val="none" w:sz="0" w:space="0" w:color="auto"/>
                                    <w:right w:val="none" w:sz="0" w:space="0" w:color="auto"/>
                                  </w:divBdr>
                                  <w:divsChild>
                                    <w:div w:id="436869547">
                                      <w:marLeft w:val="0"/>
                                      <w:marRight w:val="0"/>
                                      <w:marTop w:val="0"/>
                                      <w:marBottom w:val="0"/>
                                      <w:divBdr>
                                        <w:top w:val="none" w:sz="0" w:space="0" w:color="auto"/>
                                        <w:left w:val="none" w:sz="0" w:space="0" w:color="auto"/>
                                        <w:bottom w:val="none" w:sz="0" w:space="0" w:color="auto"/>
                                        <w:right w:val="none" w:sz="0" w:space="0" w:color="auto"/>
                                      </w:divBdr>
                                      <w:divsChild>
                                        <w:div w:id="1912806035">
                                          <w:marLeft w:val="0"/>
                                          <w:marRight w:val="0"/>
                                          <w:marTop w:val="0"/>
                                          <w:marBottom w:val="0"/>
                                          <w:divBdr>
                                            <w:top w:val="none" w:sz="0" w:space="0" w:color="auto"/>
                                            <w:left w:val="none" w:sz="0" w:space="0" w:color="auto"/>
                                            <w:bottom w:val="none" w:sz="0" w:space="0" w:color="auto"/>
                                            <w:right w:val="none" w:sz="0" w:space="0" w:color="auto"/>
                                          </w:divBdr>
                                          <w:divsChild>
                                            <w:div w:id="1885605198">
                                              <w:marLeft w:val="0"/>
                                              <w:marRight w:val="0"/>
                                              <w:marTop w:val="0"/>
                                              <w:marBottom w:val="0"/>
                                              <w:divBdr>
                                                <w:top w:val="none" w:sz="0" w:space="0" w:color="auto"/>
                                                <w:left w:val="none" w:sz="0" w:space="0" w:color="auto"/>
                                                <w:bottom w:val="none" w:sz="0" w:space="0" w:color="auto"/>
                                                <w:right w:val="none" w:sz="0" w:space="0" w:color="auto"/>
                                              </w:divBdr>
                                              <w:divsChild>
                                                <w:div w:id="77102262">
                                                  <w:marLeft w:val="0"/>
                                                  <w:marRight w:val="0"/>
                                                  <w:marTop w:val="0"/>
                                                  <w:marBottom w:val="0"/>
                                                  <w:divBdr>
                                                    <w:top w:val="none" w:sz="0" w:space="0" w:color="auto"/>
                                                    <w:left w:val="none" w:sz="0" w:space="0" w:color="auto"/>
                                                    <w:bottom w:val="none" w:sz="0" w:space="0" w:color="auto"/>
                                                    <w:right w:val="none" w:sz="0" w:space="0" w:color="auto"/>
                                                  </w:divBdr>
                                                  <w:divsChild>
                                                    <w:div w:id="1697924748">
                                                      <w:marLeft w:val="0"/>
                                                      <w:marRight w:val="0"/>
                                                      <w:marTop w:val="0"/>
                                                      <w:marBottom w:val="0"/>
                                                      <w:divBdr>
                                                        <w:top w:val="none" w:sz="0" w:space="0" w:color="auto"/>
                                                        <w:left w:val="none" w:sz="0" w:space="0" w:color="auto"/>
                                                        <w:bottom w:val="none" w:sz="0" w:space="0" w:color="auto"/>
                                                        <w:right w:val="none" w:sz="0" w:space="0" w:color="auto"/>
                                                      </w:divBdr>
                                                      <w:divsChild>
                                                        <w:div w:id="1830634366">
                                                          <w:marLeft w:val="0"/>
                                                          <w:marRight w:val="0"/>
                                                          <w:marTop w:val="0"/>
                                                          <w:marBottom w:val="0"/>
                                                          <w:divBdr>
                                                            <w:top w:val="none" w:sz="0" w:space="0" w:color="auto"/>
                                                            <w:left w:val="none" w:sz="0" w:space="0" w:color="auto"/>
                                                            <w:bottom w:val="none" w:sz="0" w:space="0" w:color="auto"/>
                                                            <w:right w:val="none" w:sz="0" w:space="0" w:color="auto"/>
                                                          </w:divBdr>
                                                          <w:divsChild>
                                                            <w:div w:id="68576722">
                                                              <w:marLeft w:val="0"/>
                                                              <w:marRight w:val="0"/>
                                                              <w:marTop w:val="0"/>
                                                              <w:marBottom w:val="0"/>
                                                              <w:divBdr>
                                                                <w:top w:val="none" w:sz="0" w:space="0" w:color="auto"/>
                                                                <w:left w:val="none" w:sz="0" w:space="0" w:color="auto"/>
                                                                <w:bottom w:val="none" w:sz="0" w:space="0" w:color="auto"/>
                                                                <w:right w:val="none" w:sz="0" w:space="0" w:color="auto"/>
                                                              </w:divBdr>
                                                              <w:divsChild>
                                                                <w:div w:id="1026906382">
                                                                  <w:marLeft w:val="0"/>
                                                                  <w:marRight w:val="0"/>
                                                                  <w:marTop w:val="0"/>
                                                                  <w:marBottom w:val="0"/>
                                                                  <w:divBdr>
                                                                    <w:top w:val="none" w:sz="0" w:space="0" w:color="auto"/>
                                                                    <w:left w:val="none" w:sz="0" w:space="0" w:color="auto"/>
                                                                    <w:bottom w:val="none" w:sz="0" w:space="0" w:color="auto"/>
                                                                    <w:right w:val="none" w:sz="0" w:space="0" w:color="auto"/>
                                                                  </w:divBdr>
                                                                </w:div>
                                                              </w:divsChild>
                                                            </w:div>
                                                            <w:div w:id="128484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9523593">
          <w:marLeft w:val="0"/>
          <w:marRight w:val="0"/>
          <w:marTop w:val="0"/>
          <w:marBottom w:val="0"/>
          <w:divBdr>
            <w:top w:val="none" w:sz="0" w:space="0" w:color="auto"/>
            <w:left w:val="none" w:sz="0" w:space="0" w:color="auto"/>
            <w:bottom w:val="none" w:sz="0" w:space="0" w:color="auto"/>
            <w:right w:val="none" w:sz="0" w:space="0" w:color="auto"/>
          </w:divBdr>
          <w:divsChild>
            <w:div w:id="1840271013">
              <w:marLeft w:val="0"/>
              <w:marRight w:val="0"/>
              <w:marTop w:val="0"/>
              <w:marBottom w:val="0"/>
              <w:divBdr>
                <w:top w:val="none" w:sz="0" w:space="0" w:color="auto"/>
                <w:left w:val="none" w:sz="0" w:space="0" w:color="auto"/>
                <w:bottom w:val="none" w:sz="0" w:space="0" w:color="auto"/>
                <w:right w:val="none" w:sz="0" w:space="0" w:color="auto"/>
              </w:divBdr>
              <w:divsChild>
                <w:div w:id="528642913">
                  <w:marLeft w:val="0"/>
                  <w:marRight w:val="0"/>
                  <w:marTop w:val="0"/>
                  <w:marBottom w:val="0"/>
                  <w:divBdr>
                    <w:top w:val="none" w:sz="0" w:space="0" w:color="auto"/>
                    <w:left w:val="none" w:sz="0" w:space="0" w:color="auto"/>
                    <w:bottom w:val="none" w:sz="0" w:space="0" w:color="auto"/>
                    <w:right w:val="none" w:sz="0" w:space="0" w:color="auto"/>
                  </w:divBdr>
                  <w:divsChild>
                    <w:div w:id="1975596166">
                      <w:marLeft w:val="0"/>
                      <w:marRight w:val="0"/>
                      <w:marTop w:val="0"/>
                      <w:marBottom w:val="0"/>
                      <w:divBdr>
                        <w:top w:val="none" w:sz="0" w:space="0" w:color="auto"/>
                        <w:left w:val="none" w:sz="0" w:space="0" w:color="auto"/>
                        <w:bottom w:val="none" w:sz="0" w:space="0" w:color="auto"/>
                        <w:right w:val="none" w:sz="0" w:space="0" w:color="auto"/>
                      </w:divBdr>
                      <w:divsChild>
                        <w:div w:id="20009863">
                          <w:marLeft w:val="0"/>
                          <w:marRight w:val="0"/>
                          <w:marTop w:val="0"/>
                          <w:marBottom w:val="0"/>
                          <w:divBdr>
                            <w:top w:val="none" w:sz="0" w:space="0" w:color="auto"/>
                            <w:left w:val="none" w:sz="0" w:space="0" w:color="auto"/>
                            <w:bottom w:val="none" w:sz="0" w:space="0" w:color="auto"/>
                            <w:right w:val="none" w:sz="0" w:space="0" w:color="auto"/>
                          </w:divBdr>
                          <w:divsChild>
                            <w:div w:id="1459496986">
                              <w:marLeft w:val="0"/>
                              <w:marRight w:val="0"/>
                              <w:marTop w:val="0"/>
                              <w:marBottom w:val="0"/>
                              <w:divBdr>
                                <w:top w:val="none" w:sz="0" w:space="0" w:color="auto"/>
                                <w:left w:val="none" w:sz="0" w:space="0" w:color="auto"/>
                                <w:bottom w:val="none" w:sz="0" w:space="0" w:color="auto"/>
                                <w:right w:val="none" w:sz="0" w:space="0" w:color="auto"/>
                              </w:divBdr>
                              <w:divsChild>
                                <w:div w:id="1258711620">
                                  <w:marLeft w:val="0"/>
                                  <w:marRight w:val="0"/>
                                  <w:marTop w:val="0"/>
                                  <w:marBottom w:val="0"/>
                                  <w:divBdr>
                                    <w:top w:val="none" w:sz="0" w:space="0" w:color="auto"/>
                                    <w:left w:val="none" w:sz="0" w:space="0" w:color="auto"/>
                                    <w:bottom w:val="none" w:sz="0" w:space="0" w:color="auto"/>
                                    <w:right w:val="none" w:sz="0" w:space="0" w:color="auto"/>
                                  </w:divBdr>
                                  <w:divsChild>
                                    <w:div w:id="1387803941">
                                      <w:marLeft w:val="0"/>
                                      <w:marRight w:val="0"/>
                                      <w:marTop w:val="0"/>
                                      <w:marBottom w:val="0"/>
                                      <w:divBdr>
                                        <w:top w:val="none" w:sz="0" w:space="0" w:color="auto"/>
                                        <w:left w:val="none" w:sz="0" w:space="0" w:color="auto"/>
                                        <w:bottom w:val="none" w:sz="0" w:space="0" w:color="auto"/>
                                        <w:right w:val="none" w:sz="0" w:space="0" w:color="auto"/>
                                      </w:divBdr>
                                      <w:divsChild>
                                        <w:div w:id="1568346906">
                                          <w:marLeft w:val="0"/>
                                          <w:marRight w:val="0"/>
                                          <w:marTop w:val="0"/>
                                          <w:marBottom w:val="0"/>
                                          <w:divBdr>
                                            <w:top w:val="none" w:sz="0" w:space="0" w:color="auto"/>
                                            <w:left w:val="none" w:sz="0" w:space="0" w:color="auto"/>
                                            <w:bottom w:val="none" w:sz="0" w:space="0" w:color="auto"/>
                                            <w:right w:val="none" w:sz="0" w:space="0" w:color="auto"/>
                                          </w:divBdr>
                                          <w:divsChild>
                                            <w:div w:id="640767455">
                                              <w:marLeft w:val="0"/>
                                              <w:marRight w:val="0"/>
                                              <w:marTop w:val="0"/>
                                              <w:marBottom w:val="0"/>
                                              <w:divBdr>
                                                <w:top w:val="none" w:sz="0" w:space="0" w:color="auto"/>
                                                <w:left w:val="none" w:sz="0" w:space="0" w:color="auto"/>
                                                <w:bottom w:val="none" w:sz="0" w:space="0" w:color="auto"/>
                                                <w:right w:val="none" w:sz="0" w:space="0" w:color="auto"/>
                                              </w:divBdr>
                                              <w:divsChild>
                                                <w:div w:id="1145242308">
                                                  <w:marLeft w:val="0"/>
                                                  <w:marRight w:val="0"/>
                                                  <w:marTop w:val="0"/>
                                                  <w:marBottom w:val="0"/>
                                                  <w:divBdr>
                                                    <w:top w:val="none" w:sz="0" w:space="0" w:color="auto"/>
                                                    <w:left w:val="none" w:sz="0" w:space="0" w:color="auto"/>
                                                    <w:bottom w:val="none" w:sz="0" w:space="0" w:color="auto"/>
                                                    <w:right w:val="none" w:sz="0" w:space="0" w:color="auto"/>
                                                  </w:divBdr>
                                                  <w:divsChild>
                                                    <w:div w:id="562954642">
                                                      <w:marLeft w:val="0"/>
                                                      <w:marRight w:val="0"/>
                                                      <w:marTop w:val="0"/>
                                                      <w:marBottom w:val="0"/>
                                                      <w:divBdr>
                                                        <w:top w:val="none" w:sz="0" w:space="0" w:color="auto"/>
                                                        <w:left w:val="none" w:sz="0" w:space="0" w:color="auto"/>
                                                        <w:bottom w:val="none" w:sz="0" w:space="0" w:color="auto"/>
                                                        <w:right w:val="none" w:sz="0" w:space="0" w:color="auto"/>
                                                      </w:divBdr>
                                                      <w:divsChild>
                                                        <w:div w:id="333190119">
                                                          <w:marLeft w:val="0"/>
                                                          <w:marRight w:val="0"/>
                                                          <w:marTop w:val="0"/>
                                                          <w:marBottom w:val="0"/>
                                                          <w:divBdr>
                                                            <w:top w:val="none" w:sz="0" w:space="0" w:color="auto"/>
                                                            <w:left w:val="none" w:sz="0" w:space="0" w:color="auto"/>
                                                            <w:bottom w:val="none" w:sz="0" w:space="0" w:color="auto"/>
                                                            <w:right w:val="none" w:sz="0" w:space="0" w:color="auto"/>
                                                          </w:divBdr>
                                                          <w:divsChild>
                                                            <w:div w:id="1327830718">
                                                              <w:marLeft w:val="0"/>
                                                              <w:marRight w:val="0"/>
                                                              <w:marTop w:val="0"/>
                                                              <w:marBottom w:val="0"/>
                                                              <w:divBdr>
                                                                <w:top w:val="none" w:sz="0" w:space="0" w:color="auto"/>
                                                                <w:left w:val="none" w:sz="0" w:space="0" w:color="auto"/>
                                                                <w:bottom w:val="none" w:sz="0" w:space="0" w:color="auto"/>
                                                                <w:right w:val="none" w:sz="0" w:space="0" w:color="auto"/>
                                                              </w:divBdr>
                                                              <w:divsChild>
                                                                <w:div w:id="58353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0990610">
                                      <w:marLeft w:val="0"/>
                                      <w:marRight w:val="0"/>
                                      <w:marTop w:val="0"/>
                                      <w:marBottom w:val="0"/>
                                      <w:divBdr>
                                        <w:top w:val="none" w:sz="0" w:space="0" w:color="auto"/>
                                        <w:left w:val="none" w:sz="0" w:space="0" w:color="auto"/>
                                        <w:bottom w:val="none" w:sz="0" w:space="0" w:color="auto"/>
                                        <w:right w:val="none" w:sz="0" w:space="0" w:color="auto"/>
                                      </w:divBdr>
                                      <w:divsChild>
                                        <w:div w:id="1696928273">
                                          <w:marLeft w:val="0"/>
                                          <w:marRight w:val="0"/>
                                          <w:marTop w:val="0"/>
                                          <w:marBottom w:val="0"/>
                                          <w:divBdr>
                                            <w:top w:val="none" w:sz="0" w:space="0" w:color="auto"/>
                                            <w:left w:val="none" w:sz="0" w:space="0" w:color="auto"/>
                                            <w:bottom w:val="none" w:sz="0" w:space="0" w:color="auto"/>
                                            <w:right w:val="none" w:sz="0" w:space="0" w:color="auto"/>
                                          </w:divBdr>
                                          <w:divsChild>
                                            <w:div w:id="863909236">
                                              <w:marLeft w:val="0"/>
                                              <w:marRight w:val="0"/>
                                              <w:marTop w:val="0"/>
                                              <w:marBottom w:val="0"/>
                                              <w:divBdr>
                                                <w:top w:val="none" w:sz="0" w:space="0" w:color="auto"/>
                                                <w:left w:val="none" w:sz="0" w:space="0" w:color="auto"/>
                                                <w:bottom w:val="none" w:sz="0" w:space="0" w:color="auto"/>
                                                <w:right w:val="none" w:sz="0" w:space="0" w:color="auto"/>
                                              </w:divBdr>
                                              <w:divsChild>
                                                <w:div w:id="335764510">
                                                  <w:marLeft w:val="0"/>
                                                  <w:marRight w:val="0"/>
                                                  <w:marTop w:val="0"/>
                                                  <w:marBottom w:val="0"/>
                                                  <w:divBdr>
                                                    <w:top w:val="none" w:sz="0" w:space="0" w:color="auto"/>
                                                    <w:left w:val="none" w:sz="0" w:space="0" w:color="auto"/>
                                                    <w:bottom w:val="none" w:sz="0" w:space="0" w:color="auto"/>
                                                    <w:right w:val="none" w:sz="0" w:space="0" w:color="auto"/>
                                                  </w:divBdr>
                                                  <w:divsChild>
                                                    <w:div w:id="1716924086">
                                                      <w:marLeft w:val="0"/>
                                                      <w:marRight w:val="0"/>
                                                      <w:marTop w:val="0"/>
                                                      <w:marBottom w:val="0"/>
                                                      <w:divBdr>
                                                        <w:top w:val="none" w:sz="0" w:space="0" w:color="auto"/>
                                                        <w:left w:val="none" w:sz="0" w:space="0" w:color="auto"/>
                                                        <w:bottom w:val="none" w:sz="0" w:space="0" w:color="auto"/>
                                                        <w:right w:val="none" w:sz="0" w:space="0" w:color="auto"/>
                                                      </w:divBdr>
                                                      <w:divsChild>
                                                        <w:div w:id="176923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800201">
                                                  <w:marLeft w:val="0"/>
                                                  <w:marRight w:val="0"/>
                                                  <w:marTop w:val="0"/>
                                                  <w:marBottom w:val="0"/>
                                                  <w:divBdr>
                                                    <w:top w:val="none" w:sz="0" w:space="0" w:color="auto"/>
                                                    <w:left w:val="none" w:sz="0" w:space="0" w:color="auto"/>
                                                    <w:bottom w:val="none" w:sz="0" w:space="0" w:color="auto"/>
                                                    <w:right w:val="none" w:sz="0" w:space="0" w:color="auto"/>
                                                  </w:divBdr>
                                                  <w:divsChild>
                                                    <w:div w:id="98768376">
                                                      <w:marLeft w:val="0"/>
                                                      <w:marRight w:val="0"/>
                                                      <w:marTop w:val="0"/>
                                                      <w:marBottom w:val="0"/>
                                                      <w:divBdr>
                                                        <w:top w:val="none" w:sz="0" w:space="0" w:color="auto"/>
                                                        <w:left w:val="none" w:sz="0" w:space="0" w:color="auto"/>
                                                        <w:bottom w:val="none" w:sz="0" w:space="0" w:color="auto"/>
                                                        <w:right w:val="none" w:sz="0" w:space="0" w:color="auto"/>
                                                      </w:divBdr>
                                                      <w:divsChild>
                                                        <w:div w:id="862865280">
                                                          <w:marLeft w:val="0"/>
                                                          <w:marRight w:val="0"/>
                                                          <w:marTop w:val="0"/>
                                                          <w:marBottom w:val="0"/>
                                                          <w:divBdr>
                                                            <w:top w:val="none" w:sz="0" w:space="0" w:color="auto"/>
                                                            <w:left w:val="none" w:sz="0" w:space="0" w:color="auto"/>
                                                            <w:bottom w:val="none" w:sz="0" w:space="0" w:color="auto"/>
                                                            <w:right w:val="none" w:sz="0" w:space="0" w:color="auto"/>
                                                          </w:divBdr>
                                                          <w:divsChild>
                                                            <w:div w:id="51376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382206">
                                                  <w:marLeft w:val="0"/>
                                                  <w:marRight w:val="0"/>
                                                  <w:marTop w:val="0"/>
                                                  <w:marBottom w:val="0"/>
                                                  <w:divBdr>
                                                    <w:top w:val="none" w:sz="0" w:space="0" w:color="auto"/>
                                                    <w:left w:val="none" w:sz="0" w:space="0" w:color="auto"/>
                                                    <w:bottom w:val="none" w:sz="0" w:space="0" w:color="auto"/>
                                                    <w:right w:val="none" w:sz="0" w:space="0" w:color="auto"/>
                                                  </w:divBdr>
                                                  <w:divsChild>
                                                    <w:div w:id="1693336215">
                                                      <w:marLeft w:val="0"/>
                                                      <w:marRight w:val="0"/>
                                                      <w:marTop w:val="0"/>
                                                      <w:marBottom w:val="0"/>
                                                      <w:divBdr>
                                                        <w:top w:val="none" w:sz="0" w:space="0" w:color="auto"/>
                                                        <w:left w:val="none" w:sz="0" w:space="0" w:color="auto"/>
                                                        <w:bottom w:val="none" w:sz="0" w:space="0" w:color="auto"/>
                                                        <w:right w:val="none" w:sz="0" w:space="0" w:color="auto"/>
                                                      </w:divBdr>
                                                      <w:divsChild>
                                                        <w:div w:id="25035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297334">
                                              <w:marLeft w:val="0"/>
                                              <w:marRight w:val="0"/>
                                              <w:marTop w:val="0"/>
                                              <w:marBottom w:val="0"/>
                                              <w:divBdr>
                                                <w:top w:val="none" w:sz="0" w:space="0" w:color="auto"/>
                                                <w:left w:val="none" w:sz="0" w:space="0" w:color="auto"/>
                                                <w:bottom w:val="none" w:sz="0" w:space="0" w:color="auto"/>
                                                <w:right w:val="none" w:sz="0" w:space="0" w:color="auto"/>
                                              </w:divBdr>
                                              <w:divsChild>
                                                <w:div w:id="1720788658">
                                                  <w:marLeft w:val="0"/>
                                                  <w:marRight w:val="0"/>
                                                  <w:marTop w:val="0"/>
                                                  <w:marBottom w:val="0"/>
                                                  <w:divBdr>
                                                    <w:top w:val="none" w:sz="0" w:space="0" w:color="auto"/>
                                                    <w:left w:val="none" w:sz="0" w:space="0" w:color="auto"/>
                                                    <w:bottom w:val="none" w:sz="0" w:space="0" w:color="auto"/>
                                                    <w:right w:val="none" w:sz="0" w:space="0" w:color="auto"/>
                                                  </w:divBdr>
                                                  <w:divsChild>
                                                    <w:div w:id="89551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2491371">
              <w:marLeft w:val="0"/>
              <w:marRight w:val="0"/>
              <w:marTop w:val="0"/>
              <w:marBottom w:val="0"/>
              <w:divBdr>
                <w:top w:val="none" w:sz="0" w:space="0" w:color="auto"/>
                <w:left w:val="none" w:sz="0" w:space="0" w:color="auto"/>
                <w:bottom w:val="none" w:sz="0" w:space="0" w:color="auto"/>
                <w:right w:val="none" w:sz="0" w:space="0" w:color="auto"/>
              </w:divBdr>
              <w:divsChild>
                <w:div w:id="101923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546259">
      <w:bodyDiv w:val="1"/>
      <w:marLeft w:val="0"/>
      <w:marRight w:val="0"/>
      <w:marTop w:val="0"/>
      <w:marBottom w:val="0"/>
      <w:divBdr>
        <w:top w:val="none" w:sz="0" w:space="0" w:color="auto"/>
        <w:left w:val="none" w:sz="0" w:space="0" w:color="auto"/>
        <w:bottom w:val="none" w:sz="0" w:space="0" w:color="auto"/>
        <w:right w:val="none" w:sz="0" w:space="0" w:color="auto"/>
      </w:divBdr>
      <w:divsChild>
        <w:div w:id="18623448">
          <w:marLeft w:val="0"/>
          <w:marRight w:val="0"/>
          <w:marTop w:val="0"/>
          <w:marBottom w:val="0"/>
          <w:divBdr>
            <w:top w:val="none" w:sz="0" w:space="0" w:color="auto"/>
            <w:left w:val="none" w:sz="0" w:space="0" w:color="auto"/>
            <w:bottom w:val="none" w:sz="0" w:space="0" w:color="auto"/>
            <w:right w:val="none" w:sz="0" w:space="0" w:color="auto"/>
          </w:divBdr>
          <w:divsChild>
            <w:div w:id="578295893">
              <w:marLeft w:val="0"/>
              <w:marRight w:val="0"/>
              <w:marTop w:val="0"/>
              <w:marBottom w:val="0"/>
              <w:divBdr>
                <w:top w:val="none" w:sz="0" w:space="0" w:color="auto"/>
                <w:left w:val="none" w:sz="0" w:space="0" w:color="auto"/>
                <w:bottom w:val="none" w:sz="0" w:space="0" w:color="auto"/>
                <w:right w:val="none" w:sz="0" w:space="0" w:color="auto"/>
              </w:divBdr>
            </w:div>
          </w:divsChild>
        </w:div>
        <w:div w:id="632171213">
          <w:marLeft w:val="0"/>
          <w:marRight w:val="0"/>
          <w:marTop w:val="0"/>
          <w:marBottom w:val="0"/>
          <w:divBdr>
            <w:top w:val="none" w:sz="0" w:space="0" w:color="auto"/>
            <w:left w:val="none" w:sz="0" w:space="0" w:color="auto"/>
            <w:bottom w:val="none" w:sz="0" w:space="0" w:color="auto"/>
            <w:right w:val="none" w:sz="0" w:space="0" w:color="auto"/>
          </w:divBdr>
          <w:divsChild>
            <w:div w:id="1287085650">
              <w:marLeft w:val="0"/>
              <w:marRight w:val="0"/>
              <w:marTop w:val="0"/>
              <w:marBottom w:val="0"/>
              <w:divBdr>
                <w:top w:val="none" w:sz="0" w:space="0" w:color="auto"/>
                <w:left w:val="none" w:sz="0" w:space="0" w:color="auto"/>
                <w:bottom w:val="none" w:sz="0" w:space="0" w:color="auto"/>
                <w:right w:val="none" w:sz="0" w:space="0" w:color="auto"/>
              </w:divBdr>
            </w:div>
          </w:divsChild>
        </w:div>
        <w:div w:id="781195003">
          <w:marLeft w:val="0"/>
          <w:marRight w:val="0"/>
          <w:marTop w:val="0"/>
          <w:marBottom w:val="0"/>
          <w:divBdr>
            <w:top w:val="none" w:sz="0" w:space="0" w:color="auto"/>
            <w:left w:val="none" w:sz="0" w:space="0" w:color="auto"/>
            <w:bottom w:val="none" w:sz="0" w:space="0" w:color="auto"/>
            <w:right w:val="none" w:sz="0" w:space="0" w:color="auto"/>
          </w:divBdr>
          <w:divsChild>
            <w:div w:id="557984178">
              <w:marLeft w:val="0"/>
              <w:marRight w:val="0"/>
              <w:marTop w:val="0"/>
              <w:marBottom w:val="0"/>
              <w:divBdr>
                <w:top w:val="none" w:sz="0" w:space="0" w:color="auto"/>
                <w:left w:val="none" w:sz="0" w:space="0" w:color="auto"/>
                <w:bottom w:val="none" w:sz="0" w:space="0" w:color="auto"/>
                <w:right w:val="none" w:sz="0" w:space="0" w:color="auto"/>
              </w:divBdr>
              <w:divsChild>
                <w:div w:id="38032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718460">
          <w:marLeft w:val="0"/>
          <w:marRight w:val="0"/>
          <w:marTop w:val="0"/>
          <w:marBottom w:val="0"/>
          <w:divBdr>
            <w:top w:val="none" w:sz="0" w:space="0" w:color="auto"/>
            <w:left w:val="none" w:sz="0" w:space="0" w:color="auto"/>
            <w:bottom w:val="none" w:sz="0" w:space="0" w:color="auto"/>
            <w:right w:val="none" w:sz="0" w:space="0" w:color="auto"/>
          </w:divBdr>
          <w:divsChild>
            <w:div w:id="1185900311">
              <w:marLeft w:val="0"/>
              <w:marRight w:val="0"/>
              <w:marTop w:val="0"/>
              <w:marBottom w:val="0"/>
              <w:divBdr>
                <w:top w:val="none" w:sz="0" w:space="0" w:color="auto"/>
                <w:left w:val="none" w:sz="0" w:space="0" w:color="auto"/>
                <w:bottom w:val="none" w:sz="0" w:space="0" w:color="auto"/>
                <w:right w:val="none" w:sz="0" w:space="0" w:color="auto"/>
              </w:divBdr>
              <w:divsChild>
                <w:div w:id="1092705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310674">
      <w:bodyDiv w:val="1"/>
      <w:marLeft w:val="0"/>
      <w:marRight w:val="0"/>
      <w:marTop w:val="0"/>
      <w:marBottom w:val="0"/>
      <w:divBdr>
        <w:top w:val="none" w:sz="0" w:space="0" w:color="auto"/>
        <w:left w:val="none" w:sz="0" w:space="0" w:color="auto"/>
        <w:bottom w:val="none" w:sz="0" w:space="0" w:color="auto"/>
        <w:right w:val="none" w:sz="0" w:space="0" w:color="auto"/>
      </w:divBdr>
    </w:div>
    <w:div w:id="412556463">
      <w:bodyDiv w:val="1"/>
      <w:marLeft w:val="0"/>
      <w:marRight w:val="0"/>
      <w:marTop w:val="0"/>
      <w:marBottom w:val="0"/>
      <w:divBdr>
        <w:top w:val="none" w:sz="0" w:space="0" w:color="auto"/>
        <w:left w:val="none" w:sz="0" w:space="0" w:color="auto"/>
        <w:bottom w:val="none" w:sz="0" w:space="0" w:color="auto"/>
        <w:right w:val="none" w:sz="0" w:space="0" w:color="auto"/>
      </w:divBdr>
      <w:divsChild>
        <w:div w:id="73282931">
          <w:blockQuote w:val="1"/>
          <w:marLeft w:val="0"/>
          <w:marRight w:val="0"/>
          <w:marTop w:val="0"/>
          <w:marBottom w:val="0"/>
          <w:divBdr>
            <w:top w:val="none" w:sz="0" w:space="0" w:color="auto"/>
            <w:left w:val="single" w:sz="12" w:space="5" w:color="1010FF"/>
            <w:bottom w:val="none" w:sz="0" w:space="0" w:color="auto"/>
            <w:right w:val="none" w:sz="0" w:space="0" w:color="auto"/>
          </w:divBdr>
          <w:divsChild>
            <w:div w:id="309289043">
              <w:marLeft w:val="0"/>
              <w:marRight w:val="0"/>
              <w:marTop w:val="0"/>
              <w:marBottom w:val="0"/>
              <w:divBdr>
                <w:top w:val="none" w:sz="0" w:space="0" w:color="auto"/>
                <w:left w:val="none" w:sz="0" w:space="0" w:color="auto"/>
                <w:bottom w:val="none" w:sz="0" w:space="0" w:color="auto"/>
                <w:right w:val="none" w:sz="0" w:space="0" w:color="auto"/>
              </w:divBdr>
              <w:divsChild>
                <w:div w:id="519128586">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24040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393426">
      <w:bodyDiv w:val="1"/>
      <w:marLeft w:val="0"/>
      <w:marRight w:val="0"/>
      <w:marTop w:val="0"/>
      <w:marBottom w:val="0"/>
      <w:divBdr>
        <w:top w:val="none" w:sz="0" w:space="0" w:color="auto"/>
        <w:left w:val="none" w:sz="0" w:space="0" w:color="auto"/>
        <w:bottom w:val="none" w:sz="0" w:space="0" w:color="auto"/>
        <w:right w:val="none" w:sz="0" w:space="0" w:color="auto"/>
      </w:divBdr>
    </w:div>
    <w:div w:id="427628143">
      <w:bodyDiv w:val="1"/>
      <w:marLeft w:val="0"/>
      <w:marRight w:val="0"/>
      <w:marTop w:val="0"/>
      <w:marBottom w:val="0"/>
      <w:divBdr>
        <w:top w:val="none" w:sz="0" w:space="0" w:color="auto"/>
        <w:left w:val="none" w:sz="0" w:space="0" w:color="auto"/>
        <w:bottom w:val="none" w:sz="0" w:space="0" w:color="auto"/>
        <w:right w:val="none" w:sz="0" w:space="0" w:color="auto"/>
      </w:divBdr>
      <w:divsChild>
        <w:div w:id="2144301374">
          <w:marLeft w:val="0"/>
          <w:marRight w:val="0"/>
          <w:marTop w:val="0"/>
          <w:marBottom w:val="0"/>
          <w:divBdr>
            <w:top w:val="none" w:sz="0" w:space="0" w:color="auto"/>
            <w:left w:val="none" w:sz="0" w:space="0" w:color="auto"/>
            <w:bottom w:val="none" w:sz="0" w:space="0" w:color="auto"/>
            <w:right w:val="none" w:sz="0" w:space="0" w:color="auto"/>
          </w:divBdr>
          <w:divsChild>
            <w:div w:id="567887266">
              <w:marLeft w:val="0"/>
              <w:marRight w:val="0"/>
              <w:marTop w:val="0"/>
              <w:marBottom w:val="0"/>
              <w:divBdr>
                <w:top w:val="none" w:sz="0" w:space="0" w:color="auto"/>
                <w:left w:val="none" w:sz="0" w:space="0" w:color="auto"/>
                <w:bottom w:val="none" w:sz="0" w:space="0" w:color="auto"/>
                <w:right w:val="none" w:sz="0" w:space="0" w:color="auto"/>
              </w:divBdr>
              <w:divsChild>
                <w:div w:id="359597971">
                  <w:marLeft w:val="0"/>
                  <w:marRight w:val="0"/>
                  <w:marTop w:val="0"/>
                  <w:marBottom w:val="0"/>
                  <w:divBdr>
                    <w:top w:val="none" w:sz="0" w:space="0" w:color="auto"/>
                    <w:left w:val="none" w:sz="0" w:space="0" w:color="auto"/>
                    <w:bottom w:val="none" w:sz="0" w:space="0" w:color="auto"/>
                    <w:right w:val="none" w:sz="0" w:space="0" w:color="auto"/>
                  </w:divBdr>
                  <w:divsChild>
                    <w:div w:id="399328201">
                      <w:marLeft w:val="0"/>
                      <w:marRight w:val="0"/>
                      <w:marTop w:val="0"/>
                      <w:marBottom w:val="0"/>
                      <w:divBdr>
                        <w:top w:val="none" w:sz="0" w:space="0" w:color="auto"/>
                        <w:left w:val="none" w:sz="0" w:space="0" w:color="auto"/>
                        <w:bottom w:val="none" w:sz="0" w:space="0" w:color="auto"/>
                        <w:right w:val="none" w:sz="0" w:space="0" w:color="auto"/>
                      </w:divBdr>
                      <w:divsChild>
                        <w:div w:id="1160081119">
                          <w:marLeft w:val="0"/>
                          <w:marRight w:val="0"/>
                          <w:marTop w:val="0"/>
                          <w:marBottom w:val="0"/>
                          <w:divBdr>
                            <w:top w:val="none" w:sz="0" w:space="0" w:color="auto"/>
                            <w:left w:val="none" w:sz="0" w:space="0" w:color="auto"/>
                            <w:bottom w:val="none" w:sz="0" w:space="0" w:color="auto"/>
                            <w:right w:val="none" w:sz="0" w:space="0" w:color="auto"/>
                          </w:divBdr>
                          <w:divsChild>
                            <w:div w:id="1844660331">
                              <w:marLeft w:val="0"/>
                              <w:marRight w:val="0"/>
                              <w:marTop w:val="0"/>
                              <w:marBottom w:val="0"/>
                              <w:divBdr>
                                <w:top w:val="none" w:sz="0" w:space="0" w:color="auto"/>
                                <w:left w:val="none" w:sz="0" w:space="0" w:color="auto"/>
                                <w:bottom w:val="none" w:sz="0" w:space="0" w:color="auto"/>
                                <w:right w:val="none" w:sz="0" w:space="0" w:color="auto"/>
                              </w:divBdr>
                              <w:divsChild>
                                <w:div w:id="1056661684">
                                  <w:marLeft w:val="0"/>
                                  <w:marRight w:val="0"/>
                                  <w:marTop w:val="0"/>
                                  <w:marBottom w:val="0"/>
                                  <w:divBdr>
                                    <w:top w:val="none" w:sz="0" w:space="0" w:color="auto"/>
                                    <w:left w:val="none" w:sz="0" w:space="0" w:color="auto"/>
                                    <w:bottom w:val="none" w:sz="0" w:space="0" w:color="auto"/>
                                    <w:right w:val="none" w:sz="0" w:space="0" w:color="auto"/>
                                  </w:divBdr>
                                  <w:divsChild>
                                    <w:div w:id="1965574711">
                                      <w:marLeft w:val="0"/>
                                      <w:marRight w:val="0"/>
                                      <w:marTop w:val="0"/>
                                      <w:marBottom w:val="0"/>
                                      <w:divBdr>
                                        <w:top w:val="none" w:sz="0" w:space="0" w:color="auto"/>
                                        <w:left w:val="none" w:sz="0" w:space="0" w:color="auto"/>
                                        <w:bottom w:val="none" w:sz="0" w:space="0" w:color="auto"/>
                                        <w:right w:val="none" w:sz="0" w:space="0" w:color="auto"/>
                                      </w:divBdr>
                                      <w:divsChild>
                                        <w:div w:id="94222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0958884">
          <w:marLeft w:val="0"/>
          <w:marRight w:val="0"/>
          <w:marTop w:val="0"/>
          <w:marBottom w:val="0"/>
          <w:divBdr>
            <w:top w:val="none" w:sz="0" w:space="0" w:color="auto"/>
            <w:left w:val="none" w:sz="0" w:space="0" w:color="auto"/>
            <w:bottom w:val="none" w:sz="0" w:space="0" w:color="auto"/>
            <w:right w:val="none" w:sz="0" w:space="0" w:color="auto"/>
          </w:divBdr>
          <w:divsChild>
            <w:div w:id="1247884423">
              <w:marLeft w:val="0"/>
              <w:marRight w:val="0"/>
              <w:marTop w:val="0"/>
              <w:marBottom w:val="0"/>
              <w:divBdr>
                <w:top w:val="none" w:sz="0" w:space="0" w:color="auto"/>
                <w:left w:val="none" w:sz="0" w:space="0" w:color="auto"/>
                <w:bottom w:val="none" w:sz="0" w:space="0" w:color="auto"/>
                <w:right w:val="none" w:sz="0" w:space="0" w:color="auto"/>
              </w:divBdr>
              <w:divsChild>
                <w:div w:id="1708409899">
                  <w:marLeft w:val="0"/>
                  <w:marRight w:val="0"/>
                  <w:marTop w:val="0"/>
                  <w:marBottom w:val="0"/>
                  <w:divBdr>
                    <w:top w:val="none" w:sz="0" w:space="0" w:color="auto"/>
                    <w:left w:val="none" w:sz="0" w:space="0" w:color="auto"/>
                    <w:bottom w:val="none" w:sz="0" w:space="0" w:color="auto"/>
                    <w:right w:val="none" w:sz="0" w:space="0" w:color="auto"/>
                  </w:divBdr>
                  <w:divsChild>
                    <w:div w:id="397557764">
                      <w:marLeft w:val="0"/>
                      <w:marRight w:val="0"/>
                      <w:marTop w:val="0"/>
                      <w:marBottom w:val="0"/>
                      <w:divBdr>
                        <w:top w:val="none" w:sz="0" w:space="0" w:color="auto"/>
                        <w:left w:val="none" w:sz="0" w:space="0" w:color="auto"/>
                        <w:bottom w:val="none" w:sz="0" w:space="0" w:color="auto"/>
                        <w:right w:val="none" w:sz="0" w:space="0" w:color="auto"/>
                      </w:divBdr>
                      <w:divsChild>
                        <w:div w:id="989748738">
                          <w:marLeft w:val="0"/>
                          <w:marRight w:val="0"/>
                          <w:marTop w:val="0"/>
                          <w:marBottom w:val="0"/>
                          <w:divBdr>
                            <w:top w:val="none" w:sz="0" w:space="0" w:color="auto"/>
                            <w:left w:val="none" w:sz="0" w:space="0" w:color="auto"/>
                            <w:bottom w:val="none" w:sz="0" w:space="0" w:color="auto"/>
                            <w:right w:val="none" w:sz="0" w:space="0" w:color="auto"/>
                          </w:divBdr>
                          <w:divsChild>
                            <w:div w:id="898595887">
                              <w:marLeft w:val="0"/>
                              <w:marRight w:val="0"/>
                              <w:marTop w:val="0"/>
                              <w:marBottom w:val="0"/>
                              <w:divBdr>
                                <w:top w:val="none" w:sz="0" w:space="0" w:color="auto"/>
                                <w:left w:val="none" w:sz="0" w:space="0" w:color="auto"/>
                                <w:bottom w:val="none" w:sz="0" w:space="0" w:color="auto"/>
                                <w:right w:val="none" w:sz="0" w:space="0" w:color="auto"/>
                              </w:divBdr>
                              <w:divsChild>
                                <w:div w:id="925725952">
                                  <w:marLeft w:val="0"/>
                                  <w:marRight w:val="0"/>
                                  <w:marTop w:val="0"/>
                                  <w:marBottom w:val="0"/>
                                  <w:divBdr>
                                    <w:top w:val="none" w:sz="0" w:space="0" w:color="auto"/>
                                    <w:left w:val="none" w:sz="0" w:space="0" w:color="auto"/>
                                    <w:bottom w:val="none" w:sz="0" w:space="0" w:color="auto"/>
                                    <w:right w:val="none" w:sz="0" w:space="0" w:color="auto"/>
                                  </w:divBdr>
                                  <w:divsChild>
                                    <w:div w:id="85160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2018068">
      <w:bodyDiv w:val="1"/>
      <w:marLeft w:val="0"/>
      <w:marRight w:val="0"/>
      <w:marTop w:val="0"/>
      <w:marBottom w:val="0"/>
      <w:divBdr>
        <w:top w:val="none" w:sz="0" w:space="0" w:color="auto"/>
        <w:left w:val="none" w:sz="0" w:space="0" w:color="auto"/>
        <w:bottom w:val="none" w:sz="0" w:space="0" w:color="auto"/>
        <w:right w:val="none" w:sz="0" w:space="0" w:color="auto"/>
      </w:divBdr>
    </w:div>
    <w:div w:id="447747706">
      <w:bodyDiv w:val="1"/>
      <w:marLeft w:val="0"/>
      <w:marRight w:val="0"/>
      <w:marTop w:val="0"/>
      <w:marBottom w:val="0"/>
      <w:divBdr>
        <w:top w:val="none" w:sz="0" w:space="0" w:color="auto"/>
        <w:left w:val="none" w:sz="0" w:space="0" w:color="auto"/>
        <w:bottom w:val="none" w:sz="0" w:space="0" w:color="auto"/>
        <w:right w:val="none" w:sz="0" w:space="0" w:color="auto"/>
      </w:divBdr>
    </w:div>
    <w:div w:id="464591423">
      <w:bodyDiv w:val="1"/>
      <w:marLeft w:val="0"/>
      <w:marRight w:val="0"/>
      <w:marTop w:val="0"/>
      <w:marBottom w:val="0"/>
      <w:divBdr>
        <w:top w:val="none" w:sz="0" w:space="0" w:color="auto"/>
        <w:left w:val="none" w:sz="0" w:space="0" w:color="auto"/>
        <w:bottom w:val="none" w:sz="0" w:space="0" w:color="auto"/>
        <w:right w:val="none" w:sz="0" w:space="0" w:color="auto"/>
      </w:divBdr>
      <w:divsChild>
        <w:div w:id="1241138565">
          <w:marLeft w:val="0"/>
          <w:marRight w:val="0"/>
          <w:marTop w:val="0"/>
          <w:marBottom w:val="0"/>
          <w:divBdr>
            <w:top w:val="none" w:sz="0" w:space="0" w:color="auto"/>
            <w:left w:val="none" w:sz="0" w:space="0" w:color="auto"/>
            <w:bottom w:val="none" w:sz="0" w:space="0" w:color="auto"/>
            <w:right w:val="none" w:sz="0" w:space="0" w:color="auto"/>
          </w:divBdr>
        </w:div>
      </w:divsChild>
    </w:div>
    <w:div w:id="468787410">
      <w:bodyDiv w:val="1"/>
      <w:marLeft w:val="0"/>
      <w:marRight w:val="0"/>
      <w:marTop w:val="0"/>
      <w:marBottom w:val="0"/>
      <w:divBdr>
        <w:top w:val="none" w:sz="0" w:space="0" w:color="auto"/>
        <w:left w:val="none" w:sz="0" w:space="0" w:color="auto"/>
        <w:bottom w:val="none" w:sz="0" w:space="0" w:color="auto"/>
        <w:right w:val="none" w:sz="0" w:space="0" w:color="auto"/>
      </w:divBdr>
      <w:divsChild>
        <w:div w:id="1235703052">
          <w:marLeft w:val="0"/>
          <w:marRight w:val="0"/>
          <w:marTop w:val="0"/>
          <w:marBottom w:val="0"/>
          <w:divBdr>
            <w:top w:val="none" w:sz="0" w:space="0" w:color="auto"/>
            <w:left w:val="none" w:sz="0" w:space="0" w:color="auto"/>
            <w:bottom w:val="none" w:sz="0" w:space="0" w:color="auto"/>
            <w:right w:val="none" w:sz="0" w:space="0" w:color="auto"/>
          </w:divBdr>
          <w:divsChild>
            <w:div w:id="1199321774">
              <w:marLeft w:val="0"/>
              <w:marRight w:val="0"/>
              <w:marTop w:val="0"/>
              <w:marBottom w:val="0"/>
              <w:divBdr>
                <w:top w:val="none" w:sz="0" w:space="0" w:color="auto"/>
                <w:left w:val="none" w:sz="0" w:space="0" w:color="auto"/>
                <w:bottom w:val="none" w:sz="0" w:space="0" w:color="auto"/>
                <w:right w:val="none" w:sz="0" w:space="0" w:color="auto"/>
              </w:divBdr>
              <w:divsChild>
                <w:div w:id="168637916">
                  <w:marLeft w:val="0"/>
                  <w:marRight w:val="0"/>
                  <w:marTop w:val="0"/>
                  <w:marBottom w:val="0"/>
                  <w:divBdr>
                    <w:top w:val="none" w:sz="0" w:space="0" w:color="auto"/>
                    <w:left w:val="none" w:sz="0" w:space="0" w:color="auto"/>
                    <w:bottom w:val="none" w:sz="0" w:space="0" w:color="auto"/>
                    <w:right w:val="none" w:sz="0" w:space="0" w:color="auto"/>
                  </w:divBdr>
                  <w:divsChild>
                    <w:div w:id="158591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848657">
          <w:marLeft w:val="0"/>
          <w:marRight w:val="0"/>
          <w:marTop w:val="0"/>
          <w:marBottom w:val="0"/>
          <w:divBdr>
            <w:top w:val="none" w:sz="0" w:space="0" w:color="auto"/>
            <w:left w:val="none" w:sz="0" w:space="0" w:color="auto"/>
            <w:bottom w:val="none" w:sz="0" w:space="0" w:color="auto"/>
            <w:right w:val="none" w:sz="0" w:space="0" w:color="auto"/>
          </w:divBdr>
          <w:divsChild>
            <w:div w:id="121543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104432">
      <w:bodyDiv w:val="1"/>
      <w:marLeft w:val="0"/>
      <w:marRight w:val="0"/>
      <w:marTop w:val="0"/>
      <w:marBottom w:val="0"/>
      <w:divBdr>
        <w:top w:val="none" w:sz="0" w:space="0" w:color="auto"/>
        <w:left w:val="none" w:sz="0" w:space="0" w:color="auto"/>
        <w:bottom w:val="none" w:sz="0" w:space="0" w:color="auto"/>
        <w:right w:val="none" w:sz="0" w:space="0" w:color="auto"/>
      </w:divBdr>
      <w:divsChild>
        <w:div w:id="870727520">
          <w:marLeft w:val="0"/>
          <w:marRight w:val="0"/>
          <w:marTop w:val="0"/>
          <w:marBottom w:val="0"/>
          <w:divBdr>
            <w:top w:val="none" w:sz="0" w:space="0" w:color="auto"/>
            <w:left w:val="none" w:sz="0" w:space="0" w:color="auto"/>
            <w:bottom w:val="none" w:sz="0" w:space="0" w:color="auto"/>
            <w:right w:val="none" w:sz="0" w:space="0" w:color="auto"/>
          </w:divBdr>
          <w:divsChild>
            <w:div w:id="1449280531">
              <w:marLeft w:val="0"/>
              <w:marRight w:val="0"/>
              <w:marTop w:val="0"/>
              <w:marBottom w:val="0"/>
              <w:divBdr>
                <w:top w:val="none" w:sz="0" w:space="0" w:color="auto"/>
                <w:left w:val="none" w:sz="0" w:space="0" w:color="auto"/>
                <w:bottom w:val="none" w:sz="0" w:space="0" w:color="auto"/>
                <w:right w:val="none" w:sz="0" w:space="0" w:color="auto"/>
              </w:divBdr>
              <w:divsChild>
                <w:div w:id="661617158">
                  <w:marLeft w:val="0"/>
                  <w:marRight w:val="0"/>
                  <w:marTop w:val="0"/>
                  <w:marBottom w:val="0"/>
                  <w:divBdr>
                    <w:top w:val="none" w:sz="0" w:space="0" w:color="auto"/>
                    <w:left w:val="none" w:sz="0" w:space="0" w:color="auto"/>
                    <w:bottom w:val="none" w:sz="0" w:space="0" w:color="auto"/>
                    <w:right w:val="none" w:sz="0" w:space="0" w:color="auto"/>
                  </w:divBdr>
                  <w:divsChild>
                    <w:div w:id="122186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668461">
          <w:marLeft w:val="0"/>
          <w:marRight w:val="0"/>
          <w:marTop w:val="0"/>
          <w:marBottom w:val="0"/>
          <w:divBdr>
            <w:top w:val="none" w:sz="0" w:space="0" w:color="auto"/>
            <w:left w:val="none" w:sz="0" w:space="0" w:color="auto"/>
            <w:bottom w:val="none" w:sz="0" w:space="0" w:color="auto"/>
            <w:right w:val="none" w:sz="0" w:space="0" w:color="auto"/>
          </w:divBdr>
          <w:divsChild>
            <w:div w:id="175153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394662">
      <w:bodyDiv w:val="1"/>
      <w:marLeft w:val="0"/>
      <w:marRight w:val="0"/>
      <w:marTop w:val="0"/>
      <w:marBottom w:val="0"/>
      <w:divBdr>
        <w:top w:val="none" w:sz="0" w:space="0" w:color="auto"/>
        <w:left w:val="none" w:sz="0" w:space="0" w:color="auto"/>
        <w:bottom w:val="none" w:sz="0" w:space="0" w:color="auto"/>
        <w:right w:val="none" w:sz="0" w:space="0" w:color="auto"/>
      </w:divBdr>
    </w:div>
    <w:div w:id="578489073">
      <w:bodyDiv w:val="1"/>
      <w:marLeft w:val="0"/>
      <w:marRight w:val="0"/>
      <w:marTop w:val="0"/>
      <w:marBottom w:val="0"/>
      <w:divBdr>
        <w:top w:val="none" w:sz="0" w:space="0" w:color="auto"/>
        <w:left w:val="none" w:sz="0" w:space="0" w:color="auto"/>
        <w:bottom w:val="none" w:sz="0" w:space="0" w:color="auto"/>
        <w:right w:val="none" w:sz="0" w:space="0" w:color="auto"/>
      </w:divBdr>
      <w:divsChild>
        <w:div w:id="1531139235">
          <w:marLeft w:val="0"/>
          <w:marRight w:val="0"/>
          <w:marTop w:val="0"/>
          <w:marBottom w:val="0"/>
          <w:divBdr>
            <w:top w:val="none" w:sz="0" w:space="0" w:color="auto"/>
            <w:left w:val="none" w:sz="0" w:space="0" w:color="auto"/>
            <w:bottom w:val="none" w:sz="0" w:space="0" w:color="auto"/>
            <w:right w:val="none" w:sz="0" w:space="0" w:color="auto"/>
          </w:divBdr>
        </w:div>
      </w:divsChild>
    </w:div>
    <w:div w:id="597759578">
      <w:bodyDiv w:val="1"/>
      <w:marLeft w:val="0"/>
      <w:marRight w:val="0"/>
      <w:marTop w:val="0"/>
      <w:marBottom w:val="0"/>
      <w:divBdr>
        <w:top w:val="none" w:sz="0" w:space="0" w:color="auto"/>
        <w:left w:val="none" w:sz="0" w:space="0" w:color="auto"/>
        <w:bottom w:val="none" w:sz="0" w:space="0" w:color="auto"/>
        <w:right w:val="none" w:sz="0" w:space="0" w:color="auto"/>
      </w:divBdr>
      <w:divsChild>
        <w:div w:id="1148669176">
          <w:marLeft w:val="0"/>
          <w:marRight w:val="0"/>
          <w:marTop w:val="0"/>
          <w:marBottom w:val="0"/>
          <w:divBdr>
            <w:top w:val="none" w:sz="0" w:space="0" w:color="auto"/>
            <w:left w:val="none" w:sz="0" w:space="0" w:color="auto"/>
            <w:bottom w:val="none" w:sz="0" w:space="0" w:color="auto"/>
            <w:right w:val="none" w:sz="0" w:space="0" w:color="auto"/>
          </w:divBdr>
          <w:divsChild>
            <w:div w:id="399257949">
              <w:marLeft w:val="0"/>
              <w:marRight w:val="0"/>
              <w:marTop w:val="0"/>
              <w:marBottom w:val="0"/>
              <w:divBdr>
                <w:top w:val="none" w:sz="0" w:space="0" w:color="auto"/>
                <w:left w:val="none" w:sz="0" w:space="0" w:color="auto"/>
                <w:bottom w:val="none" w:sz="0" w:space="0" w:color="auto"/>
                <w:right w:val="none" w:sz="0" w:space="0" w:color="auto"/>
              </w:divBdr>
              <w:divsChild>
                <w:div w:id="225647932">
                  <w:marLeft w:val="0"/>
                  <w:marRight w:val="0"/>
                  <w:marTop w:val="0"/>
                  <w:marBottom w:val="0"/>
                  <w:divBdr>
                    <w:top w:val="none" w:sz="0" w:space="0" w:color="auto"/>
                    <w:left w:val="none" w:sz="0" w:space="0" w:color="auto"/>
                    <w:bottom w:val="none" w:sz="0" w:space="0" w:color="auto"/>
                    <w:right w:val="none" w:sz="0" w:space="0" w:color="auto"/>
                  </w:divBdr>
                  <w:divsChild>
                    <w:div w:id="84267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163374">
          <w:marLeft w:val="0"/>
          <w:marRight w:val="0"/>
          <w:marTop w:val="0"/>
          <w:marBottom w:val="0"/>
          <w:divBdr>
            <w:top w:val="none" w:sz="0" w:space="0" w:color="auto"/>
            <w:left w:val="none" w:sz="0" w:space="0" w:color="auto"/>
            <w:bottom w:val="none" w:sz="0" w:space="0" w:color="auto"/>
            <w:right w:val="none" w:sz="0" w:space="0" w:color="auto"/>
          </w:divBdr>
          <w:divsChild>
            <w:div w:id="169988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237962">
      <w:bodyDiv w:val="1"/>
      <w:marLeft w:val="0"/>
      <w:marRight w:val="0"/>
      <w:marTop w:val="0"/>
      <w:marBottom w:val="0"/>
      <w:divBdr>
        <w:top w:val="none" w:sz="0" w:space="0" w:color="auto"/>
        <w:left w:val="none" w:sz="0" w:space="0" w:color="auto"/>
        <w:bottom w:val="none" w:sz="0" w:space="0" w:color="auto"/>
        <w:right w:val="none" w:sz="0" w:space="0" w:color="auto"/>
      </w:divBdr>
      <w:divsChild>
        <w:div w:id="44106311">
          <w:marLeft w:val="0"/>
          <w:marRight w:val="0"/>
          <w:marTop w:val="0"/>
          <w:marBottom w:val="0"/>
          <w:divBdr>
            <w:top w:val="none" w:sz="0" w:space="0" w:color="auto"/>
            <w:left w:val="none" w:sz="0" w:space="0" w:color="auto"/>
            <w:bottom w:val="none" w:sz="0" w:space="0" w:color="auto"/>
            <w:right w:val="none" w:sz="0" w:space="0" w:color="auto"/>
          </w:divBdr>
          <w:divsChild>
            <w:div w:id="1446996479">
              <w:marLeft w:val="0"/>
              <w:marRight w:val="0"/>
              <w:marTop w:val="0"/>
              <w:marBottom w:val="0"/>
              <w:divBdr>
                <w:top w:val="none" w:sz="0" w:space="0" w:color="auto"/>
                <w:left w:val="none" w:sz="0" w:space="0" w:color="auto"/>
                <w:bottom w:val="none" w:sz="0" w:space="0" w:color="auto"/>
                <w:right w:val="none" w:sz="0" w:space="0" w:color="auto"/>
              </w:divBdr>
              <w:divsChild>
                <w:div w:id="1127116750">
                  <w:marLeft w:val="0"/>
                  <w:marRight w:val="0"/>
                  <w:marTop w:val="0"/>
                  <w:marBottom w:val="0"/>
                  <w:divBdr>
                    <w:top w:val="none" w:sz="0" w:space="0" w:color="auto"/>
                    <w:left w:val="none" w:sz="0" w:space="0" w:color="auto"/>
                    <w:bottom w:val="none" w:sz="0" w:space="0" w:color="auto"/>
                    <w:right w:val="none" w:sz="0" w:space="0" w:color="auto"/>
                  </w:divBdr>
                  <w:divsChild>
                    <w:div w:id="1710108740">
                      <w:marLeft w:val="0"/>
                      <w:marRight w:val="0"/>
                      <w:marTop w:val="0"/>
                      <w:marBottom w:val="0"/>
                      <w:divBdr>
                        <w:top w:val="none" w:sz="0" w:space="0" w:color="auto"/>
                        <w:left w:val="none" w:sz="0" w:space="0" w:color="auto"/>
                        <w:bottom w:val="none" w:sz="0" w:space="0" w:color="auto"/>
                        <w:right w:val="none" w:sz="0" w:space="0" w:color="auto"/>
                      </w:divBdr>
                      <w:divsChild>
                        <w:div w:id="1675493819">
                          <w:marLeft w:val="0"/>
                          <w:marRight w:val="0"/>
                          <w:marTop w:val="0"/>
                          <w:marBottom w:val="0"/>
                          <w:divBdr>
                            <w:top w:val="none" w:sz="0" w:space="0" w:color="auto"/>
                            <w:left w:val="none" w:sz="0" w:space="0" w:color="auto"/>
                            <w:bottom w:val="none" w:sz="0" w:space="0" w:color="auto"/>
                            <w:right w:val="none" w:sz="0" w:space="0" w:color="auto"/>
                          </w:divBdr>
                          <w:divsChild>
                            <w:div w:id="579142502">
                              <w:marLeft w:val="0"/>
                              <w:marRight w:val="0"/>
                              <w:marTop w:val="0"/>
                              <w:marBottom w:val="0"/>
                              <w:divBdr>
                                <w:top w:val="none" w:sz="0" w:space="0" w:color="auto"/>
                                <w:left w:val="none" w:sz="0" w:space="0" w:color="auto"/>
                                <w:bottom w:val="none" w:sz="0" w:space="0" w:color="auto"/>
                                <w:right w:val="none" w:sz="0" w:space="0" w:color="auto"/>
                              </w:divBdr>
                              <w:divsChild>
                                <w:div w:id="441268382">
                                  <w:marLeft w:val="0"/>
                                  <w:marRight w:val="0"/>
                                  <w:marTop w:val="0"/>
                                  <w:marBottom w:val="0"/>
                                  <w:divBdr>
                                    <w:top w:val="none" w:sz="0" w:space="0" w:color="auto"/>
                                    <w:left w:val="none" w:sz="0" w:space="0" w:color="auto"/>
                                    <w:bottom w:val="none" w:sz="0" w:space="0" w:color="auto"/>
                                    <w:right w:val="none" w:sz="0" w:space="0" w:color="auto"/>
                                  </w:divBdr>
                                  <w:divsChild>
                                    <w:div w:id="1402866302">
                                      <w:marLeft w:val="0"/>
                                      <w:marRight w:val="0"/>
                                      <w:marTop w:val="0"/>
                                      <w:marBottom w:val="0"/>
                                      <w:divBdr>
                                        <w:top w:val="none" w:sz="0" w:space="0" w:color="auto"/>
                                        <w:left w:val="none" w:sz="0" w:space="0" w:color="auto"/>
                                        <w:bottom w:val="none" w:sz="0" w:space="0" w:color="auto"/>
                                        <w:right w:val="none" w:sz="0" w:space="0" w:color="auto"/>
                                      </w:divBdr>
                                      <w:divsChild>
                                        <w:div w:id="168042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471883">
          <w:marLeft w:val="0"/>
          <w:marRight w:val="0"/>
          <w:marTop w:val="0"/>
          <w:marBottom w:val="0"/>
          <w:divBdr>
            <w:top w:val="none" w:sz="0" w:space="0" w:color="auto"/>
            <w:left w:val="none" w:sz="0" w:space="0" w:color="auto"/>
            <w:bottom w:val="none" w:sz="0" w:space="0" w:color="auto"/>
            <w:right w:val="none" w:sz="0" w:space="0" w:color="auto"/>
          </w:divBdr>
          <w:divsChild>
            <w:div w:id="1670059890">
              <w:marLeft w:val="0"/>
              <w:marRight w:val="0"/>
              <w:marTop w:val="0"/>
              <w:marBottom w:val="0"/>
              <w:divBdr>
                <w:top w:val="none" w:sz="0" w:space="0" w:color="auto"/>
                <w:left w:val="none" w:sz="0" w:space="0" w:color="auto"/>
                <w:bottom w:val="none" w:sz="0" w:space="0" w:color="auto"/>
                <w:right w:val="none" w:sz="0" w:space="0" w:color="auto"/>
              </w:divBdr>
              <w:divsChild>
                <w:div w:id="58791546">
                  <w:marLeft w:val="0"/>
                  <w:marRight w:val="0"/>
                  <w:marTop w:val="0"/>
                  <w:marBottom w:val="0"/>
                  <w:divBdr>
                    <w:top w:val="none" w:sz="0" w:space="0" w:color="auto"/>
                    <w:left w:val="none" w:sz="0" w:space="0" w:color="auto"/>
                    <w:bottom w:val="none" w:sz="0" w:space="0" w:color="auto"/>
                    <w:right w:val="none" w:sz="0" w:space="0" w:color="auto"/>
                  </w:divBdr>
                  <w:divsChild>
                    <w:div w:id="243417169">
                      <w:marLeft w:val="0"/>
                      <w:marRight w:val="0"/>
                      <w:marTop w:val="0"/>
                      <w:marBottom w:val="0"/>
                      <w:divBdr>
                        <w:top w:val="none" w:sz="0" w:space="0" w:color="auto"/>
                        <w:left w:val="none" w:sz="0" w:space="0" w:color="auto"/>
                        <w:bottom w:val="none" w:sz="0" w:space="0" w:color="auto"/>
                        <w:right w:val="none" w:sz="0" w:space="0" w:color="auto"/>
                      </w:divBdr>
                      <w:divsChild>
                        <w:div w:id="1828015280">
                          <w:marLeft w:val="0"/>
                          <w:marRight w:val="0"/>
                          <w:marTop w:val="0"/>
                          <w:marBottom w:val="0"/>
                          <w:divBdr>
                            <w:top w:val="none" w:sz="0" w:space="0" w:color="auto"/>
                            <w:left w:val="none" w:sz="0" w:space="0" w:color="auto"/>
                            <w:bottom w:val="none" w:sz="0" w:space="0" w:color="auto"/>
                            <w:right w:val="none" w:sz="0" w:space="0" w:color="auto"/>
                          </w:divBdr>
                          <w:divsChild>
                            <w:div w:id="1321078201">
                              <w:marLeft w:val="0"/>
                              <w:marRight w:val="0"/>
                              <w:marTop w:val="0"/>
                              <w:marBottom w:val="0"/>
                              <w:divBdr>
                                <w:top w:val="none" w:sz="0" w:space="0" w:color="auto"/>
                                <w:left w:val="none" w:sz="0" w:space="0" w:color="auto"/>
                                <w:bottom w:val="none" w:sz="0" w:space="0" w:color="auto"/>
                                <w:right w:val="none" w:sz="0" w:space="0" w:color="auto"/>
                              </w:divBdr>
                              <w:divsChild>
                                <w:div w:id="572158155">
                                  <w:marLeft w:val="0"/>
                                  <w:marRight w:val="0"/>
                                  <w:marTop w:val="0"/>
                                  <w:marBottom w:val="0"/>
                                  <w:divBdr>
                                    <w:top w:val="none" w:sz="0" w:space="0" w:color="auto"/>
                                    <w:left w:val="none" w:sz="0" w:space="0" w:color="auto"/>
                                    <w:bottom w:val="none" w:sz="0" w:space="0" w:color="auto"/>
                                    <w:right w:val="none" w:sz="0" w:space="0" w:color="auto"/>
                                  </w:divBdr>
                                  <w:divsChild>
                                    <w:div w:id="1597859668">
                                      <w:marLeft w:val="0"/>
                                      <w:marRight w:val="0"/>
                                      <w:marTop w:val="0"/>
                                      <w:marBottom w:val="0"/>
                                      <w:divBdr>
                                        <w:top w:val="none" w:sz="0" w:space="0" w:color="auto"/>
                                        <w:left w:val="none" w:sz="0" w:space="0" w:color="auto"/>
                                        <w:bottom w:val="none" w:sz="0" w:space="0" w:color="auto"/>
                                        <w:right w:val="none" w:sz="0" w:space="0" w:color="auto"/>
                                      </w:divBdr>
                                      <w:divsChild>
                                        <w:div w:id="817695667">
                                          <w:marLeft w:val="0"/>
                                          <w:marRight w:val="0"/>
                                          <w:marTop w:val="0"/>
                                          <w:marBottom w:val="0"/>
                                          <w:divBdr>
                                            <w:top w:val="none" w:sz="0" w:space="0" w:color="auto"/>
                                            <w:left w:val="none" w:sz="0" w:space="0" w:color="auto"/>
                                            <w:bottom w:val="none" w:sz="0" w:space="0" w:color="auto"/>
                                            <w:right w:val="none" w:sz="0" w:space="0" w:color="auto"/>
                                          </w:divBdr>
                                          <w:divsChild>
                                            <w:div w:id="189674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0906111">
                          <w:marLeft w:val="0"/>
                          <w:marRight w:val="0"/>
                          <w:marTop w:val="0"/>
                          <w:marBottom w:val="0"/>
                          <w:divBdr>
                            <w:top w:val="none" w:sz="0" w:space="0" w:color="auto"/>
                            <w:left w:val="none" w:sz="0" w:space="0" w:color="auto"/>
                            <w:bottom w:val="none" w:sz="0" w:space="0" w:color="auto"/>
                            <w:right w:val="none" w:sz="0" w:space="0" w:color="auto"/>
                          </w:divBdr>
                          <w:divsChild>
                            <w:div w:id="738097901">
                              <w:marLeft w:val="0"/>
                              <w:marRight w:val="0"/>
                              <w:marTop w:val="0"/>
                              <w:marBottom w:val="0"/>
                              <w:divBdr>
                                <w:top w:val="none" w:sz="0" w:space="0" w:color="auto"/>
                                <w:left w:val="none" w:sz="0" w:space="0" w:color="auto"/>
                                <w:bottom w:val="none" w:sz="0" w:space="0" w:color="auto"/>
                                <w:right w:val="none" w:sz="0" w:space="0" w:color="auto"/>
                              </w:divBdr>
                              <w:divsChild>
                                <w:div w:id="176695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2695808">
          <w:marLeft w:val="0"/>
          <w:marRight w:val="0"/>
          <w:marTop w:val="0"/>
          <w:marBottom w:val="0"/>
          <w:divBdr>
            <w:top w:val="none" w:sz="0" w:space="0" w:color="auto"/>
            <w:left w:val="none" w:sz="0" w:space="0" w:color="auto"/>
            <w:bottom w:val="none" w:sz="0" w:space="0" w:color="auto"/>
            <w:right w:val="none" w:sz="0" w:space="0" w:color="auto"/>
          </w:divBdr>
          <w:divsChild>
            <w:div w:id="2099867157">
              <w:marLeft w:val="0"/>
              <w:marRight w:val="0"/>
              <w:marTop w:val="0"/>
              <w:marBottom w:val="0"/>
              <w:divBdr>
                <w:top w:val="none" w:sz="0" w:space="0" w:color="auto"/>
                <w:left w:val="none" w:sz="0" w:space="0" w:color="auto"/>
                <w:bottom w:val="none" w:sz="0" w:space="0" w:color="auto"/>
                <w:right w:val="none" w:sz="0" w:space="0" w:color="auto"/>
              </w:divBdr>
              <w:divsChild>
                <w:div w:id="1618217251">
                  <w:marLeft w:val="0"/>
                  <w:marRight w:val="0"/>
                  <w:marTop w:val="0"/>
                  <w:marBottom w:val="0"/>
                  <w:divBdr>
                    <w:top w:val="none" w:sz="0" w:space="0" w:color="auto"/>
                    <w:left w:val="none" w:sz="0" w:space="0" w:color="auto"/>
                    <w:bottom w:val="none" w:sz="0" w:space="0" w:color="auto"/>
                    <w:right w:val="none" w:sz="0" w:space="0" w:color="auto"/>
                  </w:divBdr>
                  <w:divsChild>
                    <w:div w:id="1745491261">
                      <w:marLeft w:val="0"/>
                      <w:marRight w:val="0"/>
                      <w:marTop w:val="0"/>
                      <w:marBottom w:val="0"/>
                      <w:divBdr>
                        <w:top w:val="none" w:sz="0" w:space="0" w:color="auto"/>
                        <w:left w:val="none" w:sz="0" w:space="0" w:color="auto"/>
                        <w:bottom w:val="none" w:sz="0" w:space="0" w:color="auto"/>
                        <w:right w:val="none" w:sz="0" w:space="0" w:color="auto"/>
                      </w:divBdr>
                      <w:divsChild>
                        <w:div w:id="571357060">
                          <w:marLeft w:val="0"/>
                          <w:marRight w:val="0"/>
                          <w:marTop w:val="0"/>
                          <w:marBottom w:val="0"/>
                          <w:divBdr>
                            <w:top w:val="none" w:sz="0" w:space="0" w:color="auto"/>
                            <w:left w:val="none" w:sz="0" w:space="0" w:color="auto"/>
                            <w:bottom w:val="none" w:sz="0" w:space="0" w:color="auto"/>
                            <w:right w:val="none" w:sz="0" w:space="0" w:color="auto"/>
                          </w:divBdr>
                          <w:divsChild>
                            <w:div w:id="366224447">
                              <w:marLeft w:val="0"/>
                              <w:marRight w:val="0"/>
                              <w:marTop w:val="0"/>
                              <w:marBottom w:val="0"/>
                              <w:divBdr>
                                <w:top w:val="none" w:sz="0" w:space="0" w:color="auto"/>
                                <w:left w:val="none" w:sz="0" w:space="0" w:color="auto"/>
                                <w:bottom w:val="none" w:sz="0" w:space="0" w:color="auto"/>
                                <w:right w:val="none" w:sz="0" w:space="0" w:color="auto"/>
                              </w:divBdr>
                              <w:divsChild>
                                <w:div w:id="1812865307">
                                  <w:marLeft w:val="0"/>
                                  <w:marRight w:val="0"/>
                                  <w:marTop w:val="0"/>
                                  <w:marBottom w:val="0"/>
                                  <w:divBdr>
                                    <w:top w:val="none" w:sz="0" w:space="0" w:color="auto"/>
                                    <w:left w:val="none" w:sz="0" w:space="0" w:color="auto"/>
                                    <w:bottom w:val="none" w:sz="0" w:space="0" w:color="auto"/>
                                    <w:right w:val="none" w:sz="0" w:space="0" w:color="auto"/>
                                  </w:divBdr>
                                  <w:divsChild>
                                    <w:div w:id="510797659">
                                      <w:marLeft w:val="0"/>
                                      <w:marRight w:val="0"/>
                                      <w:marTop w:val="0"/>
                                      <w:marBottom w:val="0"/>
                                      <w:divBdr>
                                        <w:top w:val="none" w:sz="0" w:space="0" w:color="auto"/>
                                        <w:left w:val="none" w:sz="0" w:space="0" w:color="auto"/>
                                        <w:bottom w:val="none" w:sz="0" w:space="0" w:color="auto"/>
                                        <w:right w:val="none" w:sz="0" w:space="0" w:color="auto"/>
                                      </w:divBdr>
                                      <w:divsChild>
                                        <w:div w:id="111093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3920706">
          <w:marLeft w:val="0"/>
          <w:marRight w:val="0"/>
          <w:marTop w:val="0"/>
          <w:marBottom w:val="0"/>
          <w:divBdr>
            <w:top w:val="none" w:sz="0" w:space="0" w:color="auto"/>
            <w:left w:val="none" w:sz="0" w:space="0" w:color="auto"/>
            <w:bottom w:val="none" w:sz="0" w:space="0" w:color="auto"/>
            <w:right w:val="none" w:sz="0" w:space="0" w:color="auto"/>
          </w:divBdr>
          <w:divsChild>
            <w:div w:id="551113807">
              <w:marLeft w:val="0"/>
              <w:marRight w:val="0"/>
              <w:marTop w:val="0"/>
              <w:marBottom w:val="0"/>
              <w:divBdr>
                <w:top w:val="none" w:sz="0" w:space="0" w:color="auto"/>
                <w:left w:val="none" w:sz="0" w:space="0" w:color="auto"/>
                <w:bottom w:val="none" w:sz="0" w:space="0" w:color="auto"/>
                <w:right w:val="none" w:sz="0" w:space="0" w:color="auto"/>
              </w:divBdr>
              <w:divsChild>
                <w:div w:id="15467785">
                  <w:marLeft w:val="0"/>
                  <w:marRight w:val="0"/>
                  <w:marTop w:val="0"/>
                  <w:marBottom w:val="0"/>
                  <w:divBdr>
                    <w:top w:val="none" w:sz="0" w:space="0" w:color="auto"/>
                    <w:left w:val="none" w:sz="0" w:space="0" w:color="auto"/>
                    <w:bottom w:val="none" w:sz="0" w:space="0" w:color="auto"/>
                    <w:right w:val="none" w:sz="0" w:space="0" w:color="auto"/>
                  </w:divBdr>
                  <w:divsChild>
                    <w:div w:id="978917728">
                      <w:marLeft w:val="0"/>
                      <w:marRight w:val="0"/>
                      <w:marTop w:val="0"/>
                      <w:marBottom w:val="0"/>
                      <w:divBdr>
                        <w:top w:val="none" w:sz="0" w:space="0" w:color="auto"/>
                        <w:left w:val="none" w:sz="0" w:space="0" w:color="auto"/>
                        <w:bottom w:val="none" w:sz="0" w:space="0" w:color="auto"/>
                        <w:right w:val="none" w:sz="0" w:space="0" w:color="auto"/>
                      </w:divBdr>
                      <w:divsChild>
                        <w:div w:id="1534150379">
                          <w:marLeft w:val="0"/>
                          <w:marRight w:val="0"/>
                          <w:marTop w:val="0"/>
                          <w:marBottom w:val="0"/>
                          <w:divBdr>
                            <w:top w:val="none" w:sz="0" w:space="0" w:color="auto"/>
                            <w:left w:val="none" w:sz="0" w:space="0" w:color="auto"/>
                            <w:bottom w:val="none" w:sz="0" w:space="0" w:color="auto"/>
                            <w:right w:val="none" w:sz="0" w:space="0" w:color="auto"/>
                          </w:divBdr>
                          <w:divsChild>
                            <w:div w:id="1237780870">
                              <w:marLeft w:val="0"/>
                              <w:marRight w:val="0"/>
                              <w:marTop w:val="0"/>
                              <w:marBottom w:val="0"/>
                              <w:divBdr>
                                <w:top w:val="none" w:sz="0" w:space="0" w:color="auto"/>
                                <w:left w:val="none" w:sz="0" w:space="0" w:color="auto"/>
                                <w:bottom w:val="none" w:sz="0" w:space="0" w:color="auto"/>
                                <w:right w:val="none" w:sz="0" w:space="0" w:color="auto"/>
                              </w:divBdr>
                              <w:divsChild>
                                <w:div w:id="1516269781">
                                  <w:marLeft w:val="0"/>
                                  <w:marRight w:val="0"/>
                                  <w:marTop w:val="0"/>
                                  <w:marBottom w:val="0"/>
                                  <w:divBdr>
                                    <w:top w:val="none" w:sz="0" w:space="0" w:color="auto"/>
                                    <w:left w:val="none" w:sz="0" w:space="0" w:color="auto"/>
                                    <w:bottom w:val="none" w:sz="0" w:space="0" w:color="auto"/>
                                    <w:right w:val="none" w:sz="0" w:space="0" w:color="auto"/>
                                  </w:divBdr>
                                  <w:divsChild>
                                    <w:div w:id="1532181761">
                                      <w:marLeft w:val="0"/>
                                      <w:marRight w:val="0"/>
                                      <w:marTop w:val="0"/>
                                      <w:marBottom w:val="0"/>
                                      <w:divBdr>
                                        <w:top w:val="none" w:sz="0" w:space="0" w:color="auto"/>
                                        <w:left w:val="none" w:sz="0" w:space="0" w:color="auto"/>
                                        <w:bottom w:val="none" w:sz="0" w:space="0" w:color="auto"/>
                                        <w:right w:val="none" w:sz="0" w:space="0" w:color="auto"/>
                                      </w:divBdr>
                                      <w:divsChild>
                                        <w:div w:id="1369185528">
                                          <w:marLeft w:val="0"/>
                                          <w:marRight w:val="0"/>
                                          <w:marTop w:val="0"/>
                                          <w:marBottom w:val="0"/>
                                          <w:divBdr>
                                            <w:top w:val="none" w:sz="0" w:space="0" w:color="auto"/>
                                            <w:left w:val="none" w:sz="0" w:space="0" w:color="auto"/>
                                            <w:bottom w:val="none" w:sz="0" w:space="0" w:color="auto"/>
                                            <w:right w:val="none" w:sz="0" w:space="0" w:color="auto"/>
                                          </w:divBdr>
                                          <w:divsChild>
                                            <w:div w:id="52910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2631545">
                          <w:marLeft w:val="0"/>
                          <w:marRight w:val="0"/>
                          <w:marTop w:val="0"/>
                          <w:marBottom w:val="0"/>
                          <w:divBdr>
                            <w:top w:val="none" w:sz="0" w:space="0" w:color="auto"/>
                            <w:left w:val="none" w:sz="0" w:space="0" w:color="auto"/>
                            <w:bottom w:val="none" w:sz="0" w:space="0" w:color="auto"/>
                            <w:right w:val="none" w:sz="0" w:space="0" w:color="auto"/>
                          </w:divBdr>
                          <w:divsChild>
                            <w:div w:id="1914465793">
                              <w:marLeft w:val="0"/>
                              <w:marRight w:val="0"/>
                              <w:marTop w:val="0"/>
                              <w:marBottom w:val="0"/>
                              <w:divBdr>
                                <w:top w:val="none" w:sz="0" w:space="0" w:color="auto"/>
                                <w:left w:val="none" w:sz="0" w:space="0" w:color="auto"/>
                                <w:bottom w:val="none" w:sz="0" w:space="0" w:color="auto"/>
                                <w:right w:val="none" w:sz="0" w:space="0" w:color="auto"/>
                              </w:divBdr>
                              <w:divsChild>
                                <w:div w:id="93293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0120411">
          <w:marLeft w:val="0"/>
          <w:marRight w:val="0"/>
          <w:marTop w:val="0"/>
          <w:marBottom w:val="0"/>
          <w:divBdr>
            <w:top w:val="none" w:sz="0" w:space="0" w:color="auto"/>
            <w:left w:val="none" w:sz="0" w:space="0" w:color="auto"/>
            <w:bottom w:val="none" w:sz="0" w:space="0" w:color="auto"/>
            <w:right w:val="none" w:sz="0" w:space="0" w:color="auto"/>
          </w:divBdr>
          <w:divsChild>
            <w:div w:id="429593859">
              <w:marLeft w:val="0"/>
              <w:marRight w:val="0"/>
              <w:marTop w:val="0"/>
              <w:marBottom w:val="0"/>
              <w:divBdr>
                <w:top w:val="none" w:sz="0" w:space="0" w:color="auto"/>
                <w:left w:val="none" w:sz="0" w:space="0" w:color="auto"/>
                <w:bottom w:val="none" w:sz="0" w:space="0" w:color="auto"/>
                <w:right w:val="none" w:sz="0" w:space="0" w:color="auto"/>
              </w:divBdr>
              <w:divsChild>
                <w:div w:id="1675914412">
                  <w:marLeft w:val="0"/>
                  <w:marRight w:val="0"/>
                  <w:marTop w:val="0"/>
                  <w:marBottom w:val="0"/>
                  <w:divBdr>
                    <w:top w:val="none" w:sz="0" w:space="0" w:color="auto"/>
                    <w:left w:val="none" w:sz="0" w:space="0" w:color="auto"/>
                    <w:bottom w:val="none" w:sz="0" w:space="0" w:color="auto"/>
                    <w:right w:val="none" w:sz="0" w:space="0" w:color="auto"/>
                  </w:divBdr>
                  <w:divsChild>
                    <w:div w:id="1616406695">
                      <w:marLeft w:val="0"/>
                      <w:marRight w:val="0"/>
                      <w:marTop w:val="0"/>
                      <w:marBottom w:val="0"/>
                      <w:divBdr>
                        <w:top w:val="none" w:sz="0" w:space="0" w:color="auto"/>
                        <w:left w:val="none" w:sz="0" w:space="0" w:color="auto"/>
                        <w:bottom w:val="none" w:sz="0" w:space="0" w:color="auto"/>
                        <w:right w:val="none" w:sz="0" w:space="0" w:color="auto"/>
                      </w:divBdr>
                      <w:divsChild>
                        <w:div w:id="1457017370">
                          <w:marLeft w:val="0"/>
                          <w:marRight w:val="0"/>
                          <w:marTop w:val="0"/>
                          <w:marBottom w:val="0"/>
                          <w:divBdr>
                            <w:top w:val="none" w:sz="0" w:space="0" w:color="auto"/>
                            <w:left w:val="none" w:sz="0" w:space="0" w:color="auto"/>
                            <w:bottom w:val="none" w:sz="0" w:space="0" w:color="auto"/>
                            <w:right w:val="none" w:sz="0" w:space="0" w:color="auto"/>
                          </w:divBdr>
                          <w:divsChild>
                            <w:div w:id="1971402478">
                              <w:marLeft w:val="0"/>
                              <w:marRight w:val="0"/>
                              <w:marTop w:val="0"/>
                              <w:marBottom w:val="0"/>
                              <w:divBdr>
                                <w:top w:val="none" w:sz="0" w:space="0" w:color="auto"/>
                                <w:left w:val="none" w:sz="0" w:space="0" w:color="auto"/>
                                <w:bottom w:val="none" w:sz="0" w:space="0" w:color="auto"/>
                                <w:right w:val="none" w:sz="0" w:space="0" w:color="auto"/>
                              </w:divBdr>
                              <w:divsChild>
                                <w:div w:id="402604326">
                                  <w:marLeft w:val="0"/>
                                  <w:marRight w:val="0"/>
                                  <w:marTop w:val="0"/>
                                  <w:marBottom w:val="0"/>
                                  <w:divBdr>
                                    <w:top w:val="none" w:sz="0" w:space="0" w:color="auto"/>
                                    <w:left w:val="none" w:sz="0" w:space="0" w:color="auto"/>
                                    <w:bottom w:val="none" w:sz="0" w:space="0" w:color="auto"/>
                                    <w:right w:val="none" w:sz="0" w:space="0" w:color="auto"/>
                                  </w:divBdr>
                                  <w:divsChild>
                                    <w:div w:id="240678964">
                                      <w:marLeft w:val="0"/>
                                      <w:marRight w:val="0"/>
                                      <w:marTop w:val="0"/>
                                      <w:marBottom w:val="0"/>
                                      <w:divBdr>
                                        <w:top w:val="none" w:sz="0" w:space="0" w:color="auto"/>
                                        <w:left w:val="none" w:sz="0" w:space="0" w:color="auto"/>
                                        <w:bottom w:val="none" w:sz="0" w:space="0" w:color="auto"/>
                                        <w:right w:val="none" w:sz="0" w:space="0" w:color="auto"/>
                                      </w:divBdr>
                                      <w:divsChild>
                                        <w:div w:id="98031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9670170">
          <w:marLeft w:val="0"/>
          <w:marRight w:val="0"/>
          <w:marTop w:val="0"/>
          <w:marBottom w:val="0"/>
          <w:divBdr>
            <w:top w:val="none" w:sz="0" w:space="0" w:color="auto"/>
            <w:left w:val="none" w:sz="0" w:space="0" w:color="auto"/>
            <w:bottom w:val="none" w:sz="0" w:space="0" w:color="auto"/>
            <w:right w:val="none" w:sz="0" w:space="0" w:color="auto"/>
          </w:divBdr>
          <w:divsChild>
            <w:div w:id="1631403335">
              <w:marLeft w:val="0"/>
              <w:marRight w:val="0"/>
              <w:marTop w:val="0"/>
              <w:marBottom w:val="0"/>
              <w:divBdr>
                <w:top w:val="none" w:sz="0" w:space="0" w:color="auto"/>
                <w:left w:val="none" w:sz="0" w:space="0" w:color="auto"/>
                <w:bottom w:val="none" w:sz="0" w:space="0" w:color="auto"/>
                <w:right w:val="none" w:sz="0" w:space="0" w:color="auto"/>
              </w:divBdr>
              <w:divsChild>
                <w:div w:id="1896350462">
                  <w:marLeft w:val="0"/>
                  <w:marRight w:val="0"/>
                  <w:marTop w:val="0"/>
                  <w:marBottom w:val="0"/>
                  <w:divBdr>
                    <w:top w:val="none" w:sz="0" w:space="0" w:color="auto"/>
                    <w:left w:val="none" w:sz="0" w:space="0" w:color="auto"/>
                    <w:bottom w:val="none" w:sz="0" w:space="0" w:color="auto"/>
                    <w:right w:val="none" w:sz="0" w:space="0" w:color="auto"/>
                  </w:divBdr>
                  <w:divsChild>
                    <w:div w:id="1567304526">
                      <w:marLeft w:val="0"/>
                      <w:marRight w:val="0"/>
                      <w:marTop w:val="0"/>
                      <w:marBottom w:val="0"/>
                      <w:divBdr>
                        <w:top w:val="none" w:sz="0" w:space="0" w:color="auto"/>
                        <w:left w:val="none" w:sz="0" w:space="0" w:color="auto"/>
                        <w:bottom w:val="none" w:sz="0" w:space="0" w:color="auto"/>
                        <w:right w:val="none" w:sz="0" w:space="0" w:color="auto"/>
                      </w:divBdr>
                      <w:divsChild>
                        <w:div w:id="1312294622">
                          <w:marLeft w:val="0"/>
                          <w:marRight w:val="0"/>
                          <w:marTop w:val="0"/>
                          <w:marBottom w:val="0"/>
                          <w:divBdr>
                            <w:top w:val="none" w:sz="0" w:space="0" w:color="auto"/>
                            <w:left w:val="none" w:sz="0" w:space="0" w:color="auto"/>
                            <w:bottom w:val="none" w:sz="0" w:space="0" w:color="auto"/>
                            <w:right w:val="none" w:sz="0" w:space="0" w:color="auto"/>
                          </w:divBdr>
                          <w:divsChild>
                            <w:div w:id="439223982">
                              <w:marLeft w:val="0"/>
                              <w:marRight w:val="0"/>
                              <w:marTop w:val="0"/>
                              <w:marBottom w:val="0"/>
                              <w:divBdr>
                                <w:top w:val="none" w:sz="0" w:space="0" w:color="auto"/>
                                <w:left w:val="none" w:sz="0" w:space="0" w:color="auto"/>
                                <w:bottom w:val="none" w:sz="0" w:space="0" w:color="auto"/>
                                <w:right w:val="none" w:sz="0" w:space="0" w:color="auto"/>
                              </w:divBdr>
                              <w:divsChild>
                                <w:div w:id="331877190">
                                  <w:marLeft w:val="0"/>
                                  <w:marRight w:val="0"/>
                                  <w:marTop w:val="0"/>
                                  <w:marBottom w:val="0"/>
                                  <w:divBdr>
                                    <w:top w:val="none" w:sz="0" w:space="0" w:color="auto"/>
                                    <w:left w:val="none" w:sz="0" w:space="0" w:color="auto"/>
                                    <w:bottom w:val="none" w:sz="0" w:space="0" w:color="auto"/>
                                    <w:right w:val="none" w:sz="0" w:space="0" w:color="auto"/>
                                  </w:divBdr>
                                  <w:divsChild>
                                    <w:div w:id="199166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014173">
                          <w:marLeft w:val="0"/>
                          <w:marRight w:val="0"/>
                          <w:marTop w:val="0"/>
                          <w:marBottom w:val="0"/>
                          <w:divBdr>
                            <w:top w:val="none" w:sz="0" w:space="0" w:color="auto"/>
                            <w:left w:val="none" w:sz="0" w:space="0" w:color="auto"/>
                            <w:bottom w:val="none" w:sz="0" w:space="0" w:color="auto"/>
                            <w:right w:val="none" w:sz="0" w:space="0" w:color="auto"/>
                          </w:divBdr>
                          <w:divsChild>
                            <w:div w:id="1996564136">
                              <w:marLeft w:val="0"/>
                              <w:marRight w:val="0"/>
                              <w:marTop w:val="0"/>
                              <w:marBottom w:val="0"/>
                              <w:divBdr>
                                <w:top w:val="none" w:sz="0" w:space="0" w:color="auto"/>
                                <w:left w:val="none" w:sz="0" w:space="0" w:color="auto"/>
                                <w:bottom w:val="none" w:sz="0" w:space="0" w:color="auto"/>
                                <w:right w:val="none" w:sz="0" w:space="0" w:color="auto"/>
                              </w:divBdr>
                              <w:divsChild>
                                <w:div w:id="4653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9150672">
          <w:marLeft w:val="0"/>
          <w:marRight w:val="0"/>
          <w:marTop w:val="0"/>
          <w:marBottom w:val="0"/>
          <w:divBdr>
            <w:top w:val="none" w:sz="0" w:space="0" w:color="auto"/>
            <w:left w:val="none" w:sz="0" w:space="0" w:color="auto"/>
            <w:bottom w:val="none" w:sz="0" w:space="0" w:color="auto"/>
            <w:right w:val="none" w:sz="0" w:space="0" w:color="auto"/>
          </w:divBdr>
          <w:divsChild>
            <w:div w:id="1891838399">
              <w:marLeft w:val="0"/>
              <w:marRight w:val="0"/>
              <w:marTop w:val="0"/>
              <w:marBottom w:val="0"/>
              <w:divBdr>
                <w:top w:val="none" w:sz="0" w:space="0" w:color="auto"/>
                <w:left w:val="none" w:sz="0" w:space="0" w:color="auto"/>
                <w:bottom w:val="none" w:sz="0" w:space="0" w:color="auto"/>
                <w:right w:val="none" w:sz="0" w:space="0" w:color="auto"/>
              </w:divBdr>
              <w:divsChild>
                <w:div w:id="1292446115">
                  <w:marLeft w:val="0"/>
                  <w:marRight w:val="0"/>
                  <w:marTop w:val="0"/>
                  <w:marBottom w:val="0"/>
                  <w:divBdr>
                    <w:top w:val="none" w:sz="0" w:space="0" w:color="auto"/>
                    <w:left w:val="none" w:sz="0" w:space="0" w:color="auto"/>
                    <w:bottom w:val="none" w:sz="0" w:space="0" w:color="auto"/>
                    <w:right w:val="none" w:sz="0" w:space="0" w:color="auto"/>
                  </w:divBdr>
                  <w:divsChild>
                    <w:div w:id="1045177498">
                      <w:marLeft w:val="0"/>
                      <w:marRight w:val="0"/>
                      <w:marTop w:val="0"/>
                      <w:marBottom w:val="0"/>
                      <w:divBdr>
                        <w:top w:val="none" w:sz="0" w:space="0" w:color="auto"/>
                        <w:left w:val="none" w:sz="0" w:space="0" w:color="auto"/>
                        <w:bottom w:val="none" w:sz="0" w:space="0" w:color="auto"/>
                        <w:right w:val="none" w:sz="0" w:space="0" w:color="auto"/>
                      </w:divBdr>
                      <w:divsChild>
                        <w:div w:id="557665887">
                          <w:marLeft w:val="0"/>
                          <w:marRight w:val="0"/>
                          <w:marTop w:val="0"/>
                          <w:marBottom w:val="0"/>
                          <w:divBdr>
                            <w:top w:val="none" w:sz="0" w:space="0" w:color="auto"/>
                            <w:left w:val="none" w:sz="0" w:space="0" w:color="auto"/>
                            <w:bottom w:val="none" w:sz="0" w:space="0" w:color="auto"/>
                            <w:right w:val="none" w:sz="0" w:space="0" w:color="auto"/>
                          </w:divBdr>
                          <w:divsChild>
                            <w:div w:id="2098792396">
                              <w:marLeft w:val="0"/>
                              <w:marRight w:val="0"/>
                              <w:marTop w:val="0"/>
                              <w:marBottom w:val="0"/>
                              <w:divBdr>
                                <w:top w:val="none" w:sz="0" w:space="0" w:color="auto"/>
                                <w:left w:val="none" w:sz="0" w:space="0" w:color="auto"/>
                                <w:bottom w:val="none" w:sz="0" w:space="0" w:color="auto"/>
                                <w:right w:val="none" w:sz="0" w:space="0" w:color="auto"/>
                              </w:divBdr>
                              <w:divsChild>
                                <w:div w:id="383257424">
                                  <w:marLeft w:val="0"/>
                                  <w:marRight w:val="0"/>
                                  <w:marTop w:val="0"/>
                                  <w:marBottom w:val="0"/>
                                  <w:divBdr>
                                    <w:top w:val="none" w:sz="0" w:space="0" w:color="auto"/>
                                    <w:left w:val="none" w:sz="0" w:space="0" w:color="auto"/>
                                    <w:bottom w:val="none" w:sz="0" w:space="0" w:color="auto"/>
                                    <w:right w:val="none" w:sz="0" w:space="0" w:color="auto"/>
                                  </w:divBdr>
                                  <w:divsChild>
                                    <w:div w:id="968511527">
                                      <w:marLeft w:val="0"/>
                                      <w:marRight w:val="0"/>
                                      <w:marTop w:val="0"/>
                                      <w:marBottom w:val="0"/>
                                      <w:divBdr>
                                        <w:top w:val="none" w:sz="0" w:space="0" w:color="auto"/>
                                        <w:left w:val="none" w:sz="0" w:space="0" w:color="auto"/>
                                        <w:bottom w:val="none" w:sz="0" w:space="0" w:color="auto"/>
                                        <w:right w:val="none" w:sz="0" w:space="0" w:color="auto"/>
                                      </w:divBdr>
                                      <w:divsChild>
                                        <w:div w:id="203491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0873101">
          <w:marLeft w:val="0"/>
          <w:marRight w:val="0"/>
          <w:marTop w:val="0"/>
          <w:marBottom w:val="0"/>
          <w:divBdr>
            <w:top w:val="none" w:sz="0" w:space="0" w:color="auto"/>
            <w:left w:val="none" w:sz="0" w:space="0" w:color="auto"/>
            <w:bottom w:val="none" w:sz="0" w:space="0" w:color="auto"/>
            <w:right w:val="none" w:sz="0" w:space="0" w:color="auto"/>
          </w:divBdr>
          <w:divsChild>
            <w:div w:id="2052145683">
              <w:marLeft w:val="0"/>
              <w:marRight w:val="0"/>
              <w:marTop w:val="0"/>
              <w:marBottom w:val="0"/>
              <w:divBdr>
                <w:top w:val="none" w:sz="0" w:space="0" w:color="auto"/>
                <w:left w:val="none" w:sz="0" w:space="0" w:color="auto"/>
                <w:bottom w:val="none" w:sz="0" w:space="0" w:color="auto"/>
                <w:right w:val="none" w:sz="0" w:space="0" w:color="auto"/>
              </w:divBdr>
              <w:divsChild>
                <w:div w:id="1166166271">
                  <w:marLeft w:val="0"/>
                  <w:marRight w:val="0"/>
                  <w:marTop w:val="0"/>
                  <w:marBottom w:val="0"/>
                  <w:divBdr>
                    <w:top w:val="none" w:sz="0" w:space="0" w:color="auto"/>
                    <w:left w:val="none" w:sz="0" w:space="0" w:color="auto"/>
                    <w:bottom w:val="none" w:sz="0" w:space="0" w:color="auto"/>
                    <w:right w:val="none" w:sz="0" w:space="0" w:color="auto"/>
                  </w:divBdr>
                  <w:divsChild>
                    <w:div w:id="769162767">
                      <w:marLeft w:val="0"/>
                      <w:marRight w:val="0"/>
                      <w:marTop w:val="0"/>
                      <w:marBottom w:val="0"/>
                      <w:divBdr>
                        <w:top w:val="none" w:sz="0" w:space="0" w:color="auto"/>
                        <w:left w:val="none" w:sz="0" w:space="0" w:color="auto"/>
                        <w:bottom w:val="none" w:sz="0" w:space="0" w:color="auto"/>
                        <w:right w:val="none" w:sz="0" w:space="0" w:color="auto"/>
                      </w:divBdr>
                      <w:divsChild>
                        <w:div w:id="1215628590">
                          <w:marLeft w:val="0"/>
                          <w:marRight w:val="0"/>
                          <w:marTop w:val="0"/>
                          <w:marBottom w:val="0"/>
                          <w:divBdr>
                            <w:top w:val="none" w:sz="0" w:space="0" w:color="auto"/>
                            <w:left w:val="none" w:sz="0" w:space="0" w:color="auto"/>
                            <w:bottom w:val="none" w:sz="0" w:space="0" w:color="auto"/>
                            <w:right w:val="none" w:sz="0" w:space="0" w:color="auto"/>
                          </w:divBdr>
                          <w:divsChild>
                            <w:div w:id="1799953145">
                              <w:marLeft w:val="0"/>
                              <w:marRight w:val="0"/>
                              <w:marTop w:val="0"/>
                              <w:marBottom w:val="0"/>
                              <w:divBdr>
                                <w:top w:val="none" w:sz="0" w:space="0" w:color="auto"/>
                                <w:left w:val="none" w:sz="0" w:space="0" w:color="auto"/>
                                <w:bottom w:val="none" w:sz="0" w:space="0" w:color="auto"/>
                                <w:right w:val="none" w:sz="0" w:space="0" w:color="auto"/>
                              </w:divBdr>
                              <w:divsChild>
                                <w:div w:id="633407388">
                                  <w:marLeft w:val="0"/>
                                  <w:marRight w:val="0"/>
                                  <w:marTop w:val="0"/>
                                  <w:marBottom w:val="0"/>
                                  <w:divBdr>
                                    <w:top w:val="none" w:sz="0" w:space="0" w:color="auto"/>
                                    <w:left w:val="none" w:sz="0" w:space="0" w:color="auto"/>
                                    <w:bottom w:val="none" w:sz="0" w:space="0" w:color="auto"/>
                                    <w:right w:val="none" w:sz="0" w:space="0" w:color="auto"/>
                                  </w:divBdr>
                                  <w:divsChild>
                                    <w:div w:id="572854791">
                                      <w:marLeft w:val="0"/>
                                      <w:marRight w:val="0"/>
                                      <w:marTop w:val="0"/>
                                      <w:marBottom w:val="0"/>
                                      <w:divBdr>
                                        <w:top w:val="none" w:sz="0" w:space="0" w:color="auto"/>
                                        <w:left w:val="none" w:sz="0" w:space="0" w:color="auto"/>
                                        <w:bottom w:val="none" w:sz="0" w:space="0" w:color="auto"/>
                                        <w:right w:val="none" w:sz="0" w:space="0" w:color="auto"/>
                                      </w:divBdr>
                                      <w:divsChild>
                                        <w:div w:id="1452506785">
                                          <w:marLeft w:val="0"/>
                                          <w:marRight w:val="0"/>
                                          <w:marTop w:val="0"/>
                                          <w:marBottom w:val="0"/>
                                          <w:divBdr>
                                            <w:top w:val="none" w:sz="0" w:space="0" w:color="auto"/>
                                            <w:left w:val="none" w:sz="0" w:space="0" w:color="auto"/>
                                            <w:bottom w:val="none" w:sz="0" w:space="0" w:color="auto"/>
                                            <w:right w:val="none" w:sz="0" w:space="0" w:color="auto"/>
                                          </w:divBdr>
                                          <w:divsChild>
                                            <w:div w:id="73297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0279331">
                          <w:marLeft w:val="0"/>
                          <w:marRight w:val="0"/>
                          <w:marTop w:val="0"/>
                          <w:marBottom w:val="0"/>
                          <w:divBdr>
                            <w:top w:val="none" w:sz="0" w:space="0" w:color="auto"/>
                            <w:left w:val="none" w:sz="0" w:space="0" w:color="auto"/>
                            <w:bottom w:val="none" w:sz="0" w:space="0" w:color="auto"/>
                            <w:right w:val="none" w:sz="0" w:space="0" w:color="auto"/>
                          </w:divBdr>
                          <w:divsChild>
                            <w:div w:id="1151748913">
                              <w:marLeft w:val="0"/>
                              <w:marRight w:val="0"/>
                              <w:marTop w:val="0"/>
                              <w:marBottom w:val="0"/>
                              <w:divBdr>
                                <w:top w:val="none" w:sz="0" w:space="0" w:color="auto"/>
                                <w:left w:val="none" w:sz="0" w:space="0" w:color="auto"/>
                                <w:bottom w:val="none" w:sz="0" w:space="0" w:color="auto"/>
                                <w:right w:val="none" w:sz="0" w:space="0" w:color="auto"/>
                              </w:divBdr>
                              <w:divsChild>
                                <w:div w:id="113548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3439034">
          <w:marLeft w:val="0"/>
          <w:marRight w:val="0"/>
          <w:marTop w:val="0"/>
          <w:marBottom w:val="0"/>
          <w:divBdr>
            <w:top w:val="none" w:sz="0" w:space="0" w:color="auto"/>
            <w:left w:val="none" w:sz="0" w:space="0" w:color="auto"/>
            <w:bottom w:val="none" w:sz="0" w:space="0" w:color="auto"/>
            <w:right w:val="none" w:sz="0" w:space="0" w:color="auto"/>
          </w:divBdr>
          <w:divsChild>
            <w:div w:id="782503722">
              <w:marLeft w:val="0"/>
              <w:marRight w:val="0"/>
              <w:marTop w:val="0"/>
              <w:marBottom w:val="0"/>
              <w:divBdr>
                <w:top w:val="none" w:sz="0" w:space="0" w:color="auto"/>
                <w:left w:val="none" w:sz="0" w:space="0" w:color="auto"/>
                <w:bottom w:val="none" w:sz="0" w:space="0" w:color="auto"/>
                <w:right w:val="none" w:sz="0" w:space="0" w:color="auto"/>
              </w:divBdr>
              <w:divsChild>
                <w:div w:id="1795439434">
                  <w:marLeft w:val="0"/>
                  <w:marRight w:val="0"/>
                  <w:marTop w:val="0"/>
                  <w:marBottom w:val="0"/>
                  <w:divBdr>
                    <w:top w:val="none" w:sz="0" w:space="0" w:color="auto"/>
                    <w:left w:val="none" w:sz="0" w:space="0" w:color="auto"/>
                    <w:bottom w:val="none" w:sz="0" w:space="0" w:color="auto"/>
                    <w:right w:val="none" w:sz="0" w:space="0" w:color="auto"/>
                  </w:divBdr>
                  <w:divsChild>
                    <w:div w:id="81028870">
                      <w:marLeft w:val="0"/>
                      <w:marRight w:val="0"/>
                      <w:marTop w:val="0"/>
                      <w:marBottom w:val="0"/>
                      <w:divBdr>
                        <w:top w:val="none" w:sz="0" w:space="0" w:color="auto"/>
                        <w:left w:val="none" w:sz="0" w:space="0" w:color="auto"/>
                        <w:bottom w:val="none" w:sz="0" w:space="0" w:color="auto"/>
                        <w:right w:val="none" w:sz="0" w:space="0" w:color="auto"/>
                      </w:divBdr>
                      <w:divsChild>
                        <w:div w:id="940723592">
                          <w:marLeft w:val="0"/>
                          <w:marRight w:val="0"/>
                          <w:marTop w:val="0"/>
                          <w:marBottom w:val="0"/>
                          <w:divBdr>
                            <w:top w:val="none" w:sz="0" w:space="0" w:color="auto"/>
                            <w:left w:val="none" w:sz="0" w:space="0" w:color="auto"/>
                            <w:bottom w:val="none" w:sz="0" w:space="0" w:color="auto"/>
                            <w:right w:val="none" w:sz="0" w:space="0" w:color="auto"/>
                          </w:divBdr>
                          <w:divsChild>
                            <w:div w:id="1267076528">
                              <w:marLeft w:val="0"/>
                              <w:marRight w:val="0"/>
                              <w:marTop w:val="0"/>
                              <w:marBottom w:val="0"/>
                              <w:divBdr>
                                <w:top w:val="none" w:sz="0" w:space="0" w:color="auto"/>
                                <w:left w:val="none" w:sz="0" w:space="0" w:color="auto"/>
                                <w:bottom w:val="none" w:sz="0" w:space="0" w:color="auto"/>
                                <w:right w:val="none" w:sz="0" w:space="0" w:color="auto"/>
                              </w:divBdr>
                              <w:divsChild>
                                <w:div w:id="1947734733">
                                  <w:marLeft w:val="0"/>
                                  <w:marRight w:val="0"/>
                                  <w:marTop w:val="0"/>
                                  <w:marBottom w:val="0"/>
                                  <w:divBdr>
                                    <w:top w:val="none" w:sz="0" w:space="0" w:color="auto"/>
                                    <w:left w:val="none" w:sz="0" w:space="0" w:color="auto"/>
                                    <w:bottom w:val="none" w:sz="0" w:space="0" w:color="auto"/>
                                    <w:right w:val="none" w:sz="0" w:space="0" w:color="auto"/>
                                  </w:divBdr>
                                  <w:divsChild>
                                    <w:div w:id="1575311713">
                                      <w:marLeft w:val="0"/>
                                      <w:marRight w:val="0"/>
                                      <w:marTop w:val="0"/>
                                      <w:marBottom w:val="0"/>
                                      <w:divBdr>
                                        <w:top w:val="none" w:sz="0" w:space="0" w:color="auto"/>
                                        <w:left w:val="none" w:sz="0" w:space="0" w:color="auto"/>
                                        <w:bottom w:val="none" w:sz="0" w:space="0" w:color="auto"/>
                                        <w:right w:val="none" w:sz="0" w:space="0" w:color="auto"/>
                                      </w:divBdr>
                                      <w:divsChild>
                                        <w:div w:id="151730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4717383">
          <w:marLeft w:val="0"/>
          <w:marRight w:val="0"/>
          <w:marTop w:val="0"/>
          <w:marBottom w:val="0"/>
          <w:divBdr>
            <w:top w:val="none" w:sz="0" w:space="0" w:color="auto"/>
            <w:left w:val="none" w:sz="0" w:space="0" w:color="auto"/>
            <w:bottom w:val="none" w:sz="0" w:space="0" w:color="auto"/>
            <w:right w:val="none" w:sz="0" w:space="0" w:color="auto"/>
          </w:divBdr>
          <w:divsChild>
            <w:div w:id="1759399391">
              <w:marLeft w:val="0"/>
              <w:marRight w:val="0"/>
              <w:marTop w:val="0"/>
              <w:marBottom w:val="0"/>
              <w:divBdr>
                <w:top w:val="none" w:sz="0" w:space="0" w:color="auto"/>
                <w:left w:val="none" w:sz="0" w:space="0" w:color="auto"/>
                <w:bottom w:val="none" w:sz="0" w:space="0" w:color="auto"/>
                <w:right w:val="none" w:sz="0" w:space="0" w:color="auto"/>
              </w:divBdr>
              <w:divsChild>
                <w:div w:id="133190">
                  <w:marLeft w:val="0"/>
                  <w:marRight w:val="0"/>
                  <w:marTop w:val="0"/>
                  <w:marBottom w:val="0"/>
                  <w:divBdr>
                    <w:top w:val="none" w:sz="0" w:space="0" w:color="auto"/>
                    <w:left w:val="none" w:sz="0" w:space="0" w:color="auto"/>
                    <w:bottom w:val="none" w:sz="0" w:space="0" w:color="auto"/>
                    <w:right w:val="none" w:sz="0" w:space="0" w:color="auto"/>
                  </w:divBdr>
                  <w:divsChild>
                    <w:div w:id="1700081941">
                      <w:marLeft w:val="0"/>
                      <w:marRight w:val="0"/>
                      <w:marTop w:val="0"/>
                      <w:marBottom w:val="0"/>
                      <w:divBdr>
                        <w:top w:val="none" w:sz="0" w:space="0" w:color="auto"/>
                        <w:left w:val="none" w:sz="0" w:space="0" w:color="auto"/>
                        <w:bottom w:val="none" w:sz="0" w:space="0" w:color="auto"/>
                        <w:right w:val="none" w:sz="0" w:space="0" w:color="auto"/>
                      </w:divBdr>
                      <w:divsChild>
                        <w:div w:id="1490756249">
                          <w:marLeft w:val="0"/>
                          <w:marRight w:val="0"/>
                          <w:marTop w:val="0"/>
                          <w:marBottom w:val="0"/>
                          <w:divBdr>
                            <w:top w:val="none" w:sz="0" w:space="0" w:color="auto"/>
                            <w:left w:val="none" w:sz="0" w:space="0" w:color="auto"/>
                            <w:bottom w:val="none" w:sz="0" w:space="0" w:color="auto"/>
                            <w:right w:val="none" w:sz="0" w:space="0" w:color="auto"/>
                          </w:divBdr>
                          <w:divsChild>
                            <w:div w:id="304436783">
                              <w:marLeft w:val="0"/>
                              <w:marRight w:val="0"/>
                              <w:marTop w:val="0"/>
                              <w:marBottom w:val="0"/>
                              <w:divBdr>
                                <w:top w:val="none" w:sz="0" w:space="0" w:color="auto"/>
                                <w:left w:val="none" w:sz="0" w:space="0" w:color="auto"/>
                                <w:bottom w:val="none" w:sz="0" w:space="0" w:color="auto"/>
                                <w:right w:val="none" w:sz="0" w:space="0" w:color="auto"/>
                              </w:divBdr>
                              <w:divsChild>
                                <w:div w:id="140319212">
                                  <w:marLeft w:val="0"/>
                                  <w:marRight w:val="0"/>
                                  <w:marTop w:val="0"/>
                                  <w:marBottom w:val="0"/>
                                  <w:divBdr>
                                    <w:top w:val="none" w:sz="0" w:space="0" w:color="auto"/>
                                    <w:left w:val="none" w:sz="0" w:space="0" w:color="auto"/>
                                    <w:bottom w:val="none" w:sz="0" w:space="0" w:color="auto"/>
                                    <w:right w:val="none" w:sz="0" w:space="0" w:color="auto"/>
                                  </w:divBdr>
                                  <w:divsChild>
                                    <w:div w:id="207076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4141869">
      <w:bodyDiv w:val="1"/>
      <w:marLeft w:val="0"/>
      <w:marRight w:val="0"/>
      <w:marTop w:val="0"/>
      <w:marBottom w:val="0"/>
      <w:divBdr>
        <w:top w:val="none" w:sz="0" w:space="0" w:color="auto"/>
        <w:left w:val="none" w:sz="0" w:space="0" w:color="auto"/>
        <w:bottom w:val="none" w:sz="0" w:space="0" w:color="auto"/>
        <w:right w:val="none" w:sz="0" w:space="0" w:color="auto"/>
      </w:divBdr>
      <w:divsChild>
        <w:div w:id="519705492">
          <w:marLeft w:val="0"/>
          <w:marRight w:val="0"/>
          <w:marTop w:val="0"/>
          <w:marBottom w:val="0"/>
          <w:divBdr>
            <w:top w:val="none" w:sz="0" w:space="0" w:color="auto"/>
            <w:left w:val="none" w:sz="0" w:space="0" w:color="auto"/>
            <w:bottom w:val="none" w:sz="0" w:space="0" w:color="auto"/>
            <w:right w:val="none" w:sz="0" w:space="0" w:color="auto"/>
          </w:divBdr>
        </w:div>
        <w:div w:id="2003655270">
          <w:marLeft w:val="0"/>
          <w:marRight w:val="0"/>
          <w:marTop w:val="0"/>
          <w:marBottom w:val="0"/>
          <w:divBdr>
            <w:top w:val="none" w:sz="0" w:space="0" w:color="auto"/>
            <w:left w:val="none" w:sz="0" w:space="0" w:color="auto"/>
            <w:bottom w:val="none" w:sz="0" w:space="0" w:color="auto"/>
            <w:right w:val="none" w:sz="0" w:space="0" w:color="auto"/>
          </w:divBdr>
          <w:divsChild>
            <w:div w:id="1139884613">
              <w:marLeft w:val="0"/>
              <w:marRight w:val="0"/>
              <w:marTop w:val="0"/>
              <w:marBottom w:val="0"/>
              <w:divBdr>
                <w:top w:val="none" w:sz="0" w:space="0" w:color="auto"/>
                <w:left w:val="none" w:sz="0" w:space="0" w:color="auto"/>
                <w:bottom w:val="none" w:sz="0" w:space="0" w:color="auto"/>
                <w:right w:val="none" w:sz="0" w:space="0" w:color="auto"/>
              </w:divBdr>
              <w:divsChild>
                <w:div w:id="334918359">
                  <w:marLeft w:val="0"/>
                  <w:marRight w:val="0"/>
                  <w:marTop w:val="0"/>
                  <w:marBottom w:val="0"/>
                  <w:divBdr>
                    <w:top w:val="none" w:sz="0" w:space="0" w:color="auto"/>
                    <w:left w:val="none" w:sz="0" w:space="0" w:color="auto"/>
                    <w:bottom w:val="none" w:sz="0" w:space="0" w:color="auto"/>
                    <w:right w:val="none" w:sz="0" w:space="0" w:color="auto"/>
                  </w:divBdr>
                </w:div>
                <w:div w:id="1065683067">
                  <w:marLeft w:val="0"/>
                  <w:marRight w:val="0"/>
                  <w:marTop w:val="0"/>
                  <w:marBottom w:val="0"/>
                  <w:divBdr>
                    <w:top w:val="none" w:sz="0" w:space="0" w:color="auto"/>
                    <w:left w:val="none" w:sz="0" w:space="0" w:color="auto"/>
                    <w:bottom w:val="none" w:sz="0" w:space="0" w:color="auto"/>
                    <w:right w:val="none" w:sz="0" w:space="0" w:color="auto"/>
                  </w:divBdr>
                </w:div>
                <w:div w:id="134258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221756">
      <w:bodyDiv w:val="1"/>
      <w:marLeft w:val="0"/>
      <w:marRight w:val="0"/>
      <w:marTop w:val="0"/>
      <w:marBottom w:val="0"/>
      <w:divBdr>
        <w:top w:val="none" w:sz="0" w:space="0" w:color="auto"/>
        <w:left w:val="none" w:sz="0" w:space="0" w:color="auto"/>
        <w:bottom w:val="none" w:sz="0" w:space="0" w:color="auto"/>
        <w:right w:val="none" w:sz="0" w:space="0" w:color="auto"/>
      </w:divBdr>
    </w:div>
    <w:div w:id="662316846">
      <w:bodyDiv w:val="1"/>
      <w:marLeft w:val="0"/>
      <w:marRight w:val="0"/>
      <w:marTop w:val="0"/>
      <w:marBottom w:val="0"/>
      <w:divBdr>
        <w:top w:val="none" w:sz="0" w:space="0" w:color="auto"/>
        <w:left w:val="none" w:sz="0" w:space="0" w:color="auto"/>
        <w:bottom w:val="none" w:sz="0" w:space="0" w:color="auto"/>
        <w:right w:val="none" w:sz="0" w:space="0" w:color="auto"/>
      </w:divBdr>
    </w:div>
    <w:div w:id="689382211">
      <w:bodyDiv w:val="1"/>
      <w:marLeft w:val="0"/>
      <w:marRight w:val="0"/>
      <w:marTop w:val="0"/>
      <w:marBottom w:val="0"/>
      <w:divBdr>
        <w:top w:val="none" w:sz="0" w:space="0" w:color="auto"/>
        <w:left w:val="none" w:sz="0" w:space="0" w:color="auto"/>
        <w:bottom w:val="none" w:sz="0" w:space="0" w:color="auto"/>
        <w:right w:val="none" w:sz="0" w:space="0" w:color="auto"/>
      </w:divBdr>
      <w:divsChild>
        <w:div w:id="904536474">
          <w:marLeft w:val="0"/>
          <w:marRight w:val="0"/>
          <w:marTop w:val="0"/>
          <w:marBottom w:val="0"/>
          <w:divBdr>
            <w:top w:val="none" w:sz="0" w:space="0" w:color="auto"/>
            <w:left w:val="none" w:sz="0" w:space="0" w:color="auto"/>
            <w:bottom w:val="none" w:sz="0" w:space="0" w:color="auto"/>
            <w:right w:val="none" w:sz="0" w:space="0" w:color="auto"/>
          </w:divBdr>
          <w:divsChild>
            <w:div w:id="1932548662">
              <w:marLeft w:val="0"/>
              <w:marRight w:val="0"/>
              <w:marTop w:val="0"/>
              <w:marBottom w:val="0"/>
              <w:divBdr>
                <w:top w:val="none" w:sz="0" w:space="0" w:color="auto"/>
                <w:left w:val="none" w:sz="0" w:space="0" w:color="auto"/>
                <w:bottom w:val="none" w:sz="0" w:space="0" w:color="auto"/>
                <w:right w:val="none" w:sz="0" w:space="0" w:color="auto"/>
              </w:divBdr>
              <w:divsChild>
                <w:div w:id="1630434635">
                  <w:marLeft w:val="0"/>
                  <w:marRight w:val="0"/>
                  <w:marTop w:val="0"/>
                  <w:marBottom w:val="0"/>
                  <w:divBdr>
                    <w:top w:val="none" w:sz="0" w:space="0" w:color="auto"/>
                    <w:left w:val="none" w:sz="0" w:space="0" w:color="auto"/>
                    <w:bottom w:val="none" w:sz="0" w:space="0" w:color="auto"/>
                    <w:right w:val="none" w:sz="0" w:space="0" w:color="auto"/>
                  </w:divBdr>
                  <w:divsChild>
                    <w:div w:id="8403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733550">
              <w:marLeft w:val="0"/>
              <w:marRight w:val="0"/>
              <w:marTop w:val="0"/>
              <w:marBottom w:val="0"/>
              <w:divBdr>
                <w:top w:val="none" w:sz="0" w:space="0" w:color="auto"/>
                <w:left w:val="none" w:sz="0" w:space="0" w:color="auto"/>
                <w:bottom w:val="none" w:sz="0" w:space="0" w:color="auto"/>
                <w:right w:val="none" w:sz="0" w:space="0" w:color="auto"/>
              </w:divBdr>
              <w:divsChild>
                <w:div w:id="179158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80344">
          <w:marLeft w:val="0"/>
          <w:marRight w:val="0"/>
          <w:marTop w:val="0"/>
          <w:marBottom w:val="0"/>
          <w:divBdr>
            <w:top w:val="none" w:sz="0" w:space="0" w:color="auto"/>
            <w:left w:val="none" w:sz="0" w:space="0" w:color="auto"/>
            <w:bottom w:val="none" w:sz="0" w:space="0" w:color="auto"/>
            <w:right w:val="none" w:sz="0" w:space="0" w:color="auto"/>
          </w:divBdr>
          <w:divsChild>
            <w:div w:id="605583497">
              <w:marLeft w:val="0"/>
              <w:marRight w:val="0"/>
              <w:marTop w:val="0"/>
              <w:marBottom w:val="0"/>
              <w:divBdr>
                <w:top w:val="none" w:sz="0" w:space="0" w:color="auto"/>
                <w:left w:val="none" w:sz="0" w:space="0" w:color="auto"/>
                <w:bottom w:val="none" w:sz="0" w:space="0" w:color="auto"/>
                <w:right w:val="none" w:sz="0" w:space="0" w:color="auto"/>
              </w:divBdr>
              <w:divsChild>
                <w:div w:id="973874907">
                  <w:marLeft w:val="0"/>
                  <w:marRight w:val="0"/>
                  <w:marTop w:val="0"/>
                  <w:marBottom w:val="0"/>
                  <w:divBdr>
                    <w:top w:val="none" w:sz="0" w:space="0" w:color="auto"/>
                    <w:left w:val="none" w:sz="0" w:space="0" w:color="auto"/>
                    <w:bottom w:val="none" w:sz="0" w:space="0" w:color="auto"/>
                    <w:right w:val="none" w:sz="0" w:space="0" w:color="auto"/>
                  </w:divBdr>
                  <w:divsChild>
                    <w:div w:id="100422576">
                      <w:marLeft w:val="0"/>
                      <w:marRight w:val="0"/>
                      <w:marTop w:val="0"/>
                      <w:marBottom w:val="0"/>
                      <w:divBdr>
                        <w:top w:val="none" w:sz="0" w:space="0" w:color="auto"/>
                        <w:left w:val="none" w:sz="0" w:space="0" w:color="auto"/>
                        <w:bottom w:val="none" w:sz="0" w:space="0" w:color="auto"/>
                        <w:right w:val="none" w:sz="0" w:space="0" w:color="auto"/>
                      </w:divBdr>
                    </w:div>
                  </w:divsChild>
                </w:div>
                <w:div w:id="1052919656">
                  <w:marLeft w:val="0"/>
                  <w:marRight w:val="0"/>
                  <w:marTop w:val="0"/>
                  <w:marBottom w:val="0"/>
                  <w:divBdr>
                    <w:top w:val="none" w:sz="0" w:space="0" w:color="auto"/>
                    <w:left w:val="none" w:sz="0" w:space="0" w:color="auto"/>
                    <w:bottom w:val="none" w:sz="0" w:space="0" w:color="auto"/>
                    <w:right w:val="none" w:sz="0" w:space="0" w:color="auto"/>
                  </w:divBdr>
                  <w:divsChild>
                    <w:div w:id="299697481">
                      <w:marLeft w:val="0"/>
                      <w:marRight w:val="0"/>
                      <w:marTop w:val="0"/>
                      <w:marBottom w:val="0"/>
                      <w:divBdr>
                        <w:top w:val="none" w:sz="0" w:space="0" w:color="auto"/>
                        <w:left w:val="none" w:sz="0" w:space="0" w:color="auto"/>
                        <w:bottom w:val="none" w:sz="0" w:space="0" w:color="auto"/>
                        <w:right w:val="none" w:sz="0" w:space="0" w:color="auto"/>
                      </w:divBdr>
                      <w:divsChild>
                        <w:div w:id="37461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1305667">
      <w:bodyDiv w:val="1"/>
      <w:marLeft w:val="0"/>
      <w:marRight w:val="0"/>
      <w:marTop w:val="0"/>
      <w:marBottom w:val="0"/>
      <w:divBdr>
        <w:top w:val="none" w:sz="0" w:space="0" w:color="auto"/>
        <w:left w:val="none" w:sz="0" w:space="0" w:color="auto"/>
        <w:bottom w:val="none" w:sz="0" w:space="0" w:color="auto"/>
        <w:right w:val="none" w:sz="0" w:space="0" w:color="auto"/>
      </w:divBdr>
    </w:div>
    <w:div w:id="696471892">
      <w:bodyDiv w:val="1"/>
      <w:marLeft w:val="0"/>
      <w:marRight w:val="0"/>
      <w:marTop w:val="0"/>
      <w:marBottom w:val="0"/>
      <w:divBdr>
        <w:top w:val="none" w:sz="0" w:space="0" w:color="auto"/>
        <w:left w:val="none" w:sz="0" w:space="0" w:color="auto"/>
        <w:bottom w:val="none" w:sz="0" w:space="0" w:color="auto"/>
        <w:right w:val="none" w:sz="0" w:space="0" w:color="auto"/>
      </w:divBdr>
    </w:div>
    <w:div w:id="707529574">
      <w:bodyDiv w:val="1"/>
      <w:marLeft w:val="0"/>
      <w:marRight w:val="0"/>
      <w:marTop w:val="0"/>
      <w:marBottom w:val="0"/>
      <w:divBdr>
        <w:top w:val="none" w:sz="0" w:space="0" w:color="auto"/>
        <w:left w:val="none" w:sz="0" w:space="0" w:color="auto"/>
        <w:bottom w:val="none" w:sz="0" w:space="0" w:color="auto"/>
        <w:right w:val="none" w:sz="0" w:space="0" w:color="auto"/>
      </w:divBdr>
      <w:divsChild>
        <w:div w:id="424883058">
          <w:marLeft w:val="0"/>
          <w:marRight w:val="0"/>
          <w:marTop w:val="0"/>
          <w:marBottom w:val="0"/>
          <w:divBdr>
            <w:top w:val="none" w:sz="0" w:space="0" w:color="auto"/>
            <w:left w:val="none" w:sz="0" w:space="0" w:color="auto"/>
            <w:bottom w:val="none" w:sz="0" w:space="0" w:color="auto"/>
            <w:right w:val="none" w:sz="0" w:space="0" w:color="auto"/>
          </w:divBdr>
        </w:div>
      </w:divsChild>
    </w:div>
    <w:div w:id="724066035">
      <w:bodyDiv w:val="1"/>
      <w:marLeft w:val="0"/>
      <w:marRight w:val="0"/>
      <w:marTop w:val="0"/>
      <w:marBottom w:val="0"/>
      <w:divBdr>
        <w:top w:val="none" w:sz="0" w:space="0" w:color="auto"/>
        <w:left w:val="none" w:sz="0" w:space="0" w:color="auto"/>
        <w:bottom w:val="none" w:sz="0" w:space="0" w:color="auto"/>
        <w:right w:val="none" w:sz="0" w:space="0" w:color="auto"/>
      </w:divBdr>
    </w:div>
    <w:div w:id="751119317">
      <w:bodyDiv w:val="1"/>
      <w:marLeft w:val="0"/>
      <w:marRight w:val="0"/>
      <w:marTop w:val="0"/>
      <w:marBottom w:val="0"/>
      <w:divBdr>
        <w:top w:val="none" w:sz="0" w:space="0" w:color="auto"/>
        <w:left w:val="none" w:sz="0" w:space="0" w:color="auto"/>
        <w:bottom w:val="none" w:sz="0" w:space="0" w:color="auto"/>
        <w:right w:val="none" w:sz="0" w:space="0" w:color="auto"/>
      </w:divBdr>
    </w:div>
    <w:div w:id="776632149">
      <w:bodyDiv w:val="1"/>
      <w:marLeft w:val="0"/>
      <w:marRight w:val="0"/>
      <w:marTop w:val="0"/>
      <w:marBottom w:val="0"/>
      <w:divBdr>
        <w:top w:val="none" w:sz="0" w:space="0" w:color="auto"/>
        <w:left w:val="none" w:sz="0" w:space="0" w:color="auto"/>
        <w:bottom w:val="none" w:sz="0" w:space="0" w:color="auto"/>
        <w:right w:val="none" w:sz="0" w:space="0" w:color="auto"/>
      </w:divBdr>
    </w:div>
    <w:div w:id="780028620">
      <w:bodyDiv w:val="1"/>
      <w:marLeft w:val="0"/>
      <w:marRight w:val="0"/>
      <w:marTop w:val="0"/>
      <w:marBottom w:val="0"/>
      <w:divBdr>
        <w:top w:val="none" w:sz="0" w:space="0" w:color="auto"/>
        <w:left w:val="none" w:sz="0" w:space="0" w:color="auto"/>
        <w:bottom w:val="none" w:sz="0" w:space="0" w:color="auto"/>
        <w:right w:val="none" w:sz="0" w:space="0" w:color="auto"/>
      </w:divBdr>
    </w:div>
    <w:div w:id="797527626">
      <w:bodyDiv w:val="1"/>
      <w:marLeft w:val="0"/>
      <w:marRight w:val="0"/>
      <w:marTop w:val="0"/>
      <w:marBottom w:val="0"/>
      <w:divBdr>
        <w:top w:val="none" w:sz="0" w:space="0" w:color="auto"/>
        <w:left w:val="none" w:sz="0" w:space="0" w:color="auto"/>
        <w:bottom w:val="none" w:sz="0" w:space="0" w:color="auto"/>
        <w:right w:val="none" w:sz="0" w:space="0" w:color="auto"/>
      </w:divBdr>
      <w:divsChild>
        <w:div w:id="112675805">
          <w:marLeft w:val="0"/>
          <w:marRight w:val="0"/>
          <w:marTop w:val="0"/>
          <w:marBottom w:val="0"/>
          <w:divBdr>
            <w:top w:val="none" w:sz="0" w:space="0" w:color="auto"/>
            <w:left w:val="none" w:sz="0" w:space="0" w:color="auto"/>
            <w:bottom w:val="none" w:sz="0" w:space="0" w:color="auto"/>
            <w:right w:val="none" w:sz="0" w:space="0" w:color="auto"/>
          </w:divBdr>
          <w:divsChild>
            <w:div w:id="984823448">
              <w:marLeft w:val="0"/>
              <w:marRight w:val="0"/>
              <w:marTop w:val="0"/>
              <w:marBottom w:val="0"/>
              <w:divBdr>
                <w:top w:val="none" w:sz="0" w:space="0" w:color="auto"/>
                <w:left w:val="none" w:sz="0" w:space="0" w:color="auto"/>
                <w:bottom w:val="none" w:sz="0" w:space="0" w:color="auto"/>
                <w:right w:val="none" w:sz="0" w:space="0" w:color="auto"/>
              </w:divBdr>
            </w:div>
          </w:divsChild>
        </w:div>
        <w:div w:id="552160204">
          <w:marLeft w:val="0"/>
          <w:marRight w:val="0"/>
          <w:marTop w:val="0"/>
          <w:marBottom w:val="0"/>
          <w:divBdr>
            <w:top w:val="none" w:sz="0" w:space="0" w:color="auto"/>
            <w:left w:val="none" w:sz="0" w:space="0" w:color="auto"/>
            <w:bottom w:val="none" w:sz="0" w:space="0" w:color="auto"/>
            <w:right w:val="none" w:sz="0" w:space="0" w:color="auto"/>
          </w:divBdr>
          <w:divsChild>
            <w:div w:id="1341666292">
              <w:marLeft w:val="0"/>
              <w:marRight w:val="0"/>
              <w:marTop w:val="0"/>
              <w:marBottom w:val="0"/>
              <w:divBdr>
                <w:top w:val="none" w:sz="0" w:space="0" w:color="auto"/>
                <w:left w:val="none" w:sz="0" w:space="0" w:color="auto"/>
                <w:bottom w:val="none" w:sz="0" w:space="0" w:color="auto"/>
                <w:right w:val="none" w:sz="0" w:space="0" w:color="auto"/>
              </w:divBdr>
            </w:div>
          </w:divsChild>
        </w:div>
        <w:div w:id="1032027546">
          <w:marLeft w:val="0"/>
          <w:marRight w:val="0"/>
          <w:marTop w:val="0"/>
          <w:marBottom w:val="0"/>
          <w:divBdr>
            <w:top w:val="none" w:sz="0" w:space="0" w:color="auto"/>
            <w:left w:val="none" w:sz="0" w:space="0" w:color="auto"/>
            <w:bottom w:val="none" w:sz="0" w:space="0" w:color="auto"/>
            <w:right w:val="none" w:sz="0" w:space="0" w:color="auto"/>
          </w:divBdr>
          <w:divsChild>
            <w:div w:id="1416242313">
              <w:marLeft w:val="0"/>
              <w:marRight w:val="0"/>
              <w:marTop w:val="0"/>
              <w:marBottom w:val="0"/>
              <w:divBdr>
                <w:top w:val="none" w:sz="0" w:space="0" w:color="auto"/>
                <w:left w:val="none" w:sz="0" w:space="0" w:color="auto"/>
                <w:bottom w:val="none" w:sz="0" w:space="0" w:color="auto"/>
                <w:right w:val="none" w:sz="0" w:space="0" w:color="auto"/>
              </w:divBdr>
            </w:div>
          </w:divsChild>
        </w:div>
        <w:div w:id="1106510378">
          <w:marLeft w:val="0"/>
          <w:marRight w:val="0"/>
          <w:marTop w:val="0"/>
          <w:marBottom w:val="0"/>
          <w:divBdr>
            <w:top w:val="none" w:sz="0" w:space="0" w:color="auto"/>
            <w:left w:val="none" w:sz="0" w:space="0" w:color="auto"/>
            <w:bottom w:val="none" w:sz="0" w:space="0" w:color="auto"/>
            <w:right w:val="none" w:sz="0" w:space="0" w:color="auto"/>
          </w:divBdr>
          <w:divsChild>
            <w:div w:id="596207932">
              <w:marLeft w:val="0"/>
              <w:marRight w:val="0"/>
              <w:marTop w:val="0"/>
              <w:marBottom w:val="0"/>
              <w:divBdr>
                <w:top w:val="none" w:sz="0" w:space="0" w:color="auto"/>
                <w:left w:val="none" w:sz="0" w:space="0" w:color="auto"/>
                <w:bottom w:val="none" w:sz="0" w:space="0" w:color="auto"/>
                <w:right w:val="none" w:sz="0" w:space="0" w:color="auto"/>
              </w:divBdr>
            </w:div>
          </w:divsChild>
        </w:div>
        <w:div w:id="1766415449">
          <w:marLeft w:val="0"/>
          <w:marRight w:val="0"/>
          <w:marTop w:val="0"/>
          <w:marBottom w:val="0"/>
          <w:divBdr>
            <w:top w:val="none" w:sz="0" w:space="0" w:color="auto"/>
            <w:left w:val="none" w:sz="0" w:space="0" w:color="auto"/>
            <w:bottom w:val="none" w:sz="0" w:space="0" w:color="auto"/>
            <w:right w:val="none" w:sz="0" w:space="0" w:color="auto"/>
          </w:divBdr>
          <w:divsChild>
            <w:div w:id="23017188">
              <w:marLeft w:val="0"/>
              <w:marRight w:val="0"/>
              <w:marTop w:val="0"/>
              <w:marBottom w:val="0"/>
              <w:divBdr>
                <w:top w:val="none" w:sz="0" w:space="0" w:color="auto"/>
                <w:left w:val="none" w:sz="0" w:space="0" w:color="auto"/>
                <w:bottom w:val="none" w:sz="0" w:space="0" w:color="auto"/>
                <w:right w:val="none" w:sz="0" w:space="0" w:color="auto"/>
              </w:divBdr>
            </w:div>
          </w:divsChild>
        </w:div>
        <w:div w:id="1767965008">
          <w:marLeft w:val="0"/>
          <w:marRight w:val="0"/>
          <w:marTop w:val="0"/>
          <w:marBottom w:val="0"/>
          <w:divBdr>
            <w:top w:val="none" w:sz="0" w:space="0" w:color="auto"/>
            <w:left w:val="none" w:sz="0" w:space="0" w:color="auto"/>
            <w:bottom w:val="none" w:sz="0" w:space="0" w:color="auto"/>
            <w:right w:val="none" w:sz="0" w:space="0" w:color="auto"/>
          </w:divBdr>
          <w:divsChild>
            <w:div w:id="251597067">
              <w:marLeft w:val="0"/>
              <w:marRight w:val="0"/>
              <w:marTop w:val="0"/>
              <w:marBottom w:val="0"/>
              <w:divBdr>
                <w:top w:val="none" w:sz="0" w:space="0" w:color="auto"/>
                <w:left w:val="none" w:sz="0" w:space="0" w:color="auto"/>
                <w:bottom w:val="none" w:sz="0" w:space="0" w:color="auto"/>
                <w:right w:val="none" w:sz="0" w:space="0" w:color="auto"/>
              </w:divBdr>
            </w:div>
          </w:divsChild>
        </w:div>
        <w:div w:id="2058695221">
          <w:marLeft w:val="0"/>
          <w:marRight w:val="0"/>
          <w:marTop w:val="0"/>
          <w:marBottom w:val="0"/>
          <w:divBdr>
            <w:top w:val="none" w:sz="0" w:space="0" w:color="auto"/>
            <w:left w:val="none" w:sz="0" w:space="0" w:color="auto"/>
            <w:bottom w:val="none" w:sz="0" w:space="0" w:color="auto"/>
            <w:right w:val="none" w:sz="0" w:space="0" w:color="auto"/>
          </w:divBdr>
        </w:div>
      </w:divsChild>
    </w:div>
    <w:div w:id="810944458">
      <w:bodyDiv w:val="1"/>
      <w:marLeft w:val="0"/>
      <w:marRight w:val="0"/>
      <w:marTop w:val="0"/>
      <w:marBottom w:val="0"/>
      <w:divBdr>
        <w:top w:val="none" w:sz="0" w:space="0" w:color="auto"/>
        <w:left w:val="none" w:sz="0" w:space="0" w:color="auto"/>
        <w:bottom w:val="none" w:sz="0" w:space="0" w:color="auto"/>
        <w:right w:val="none" w:sz="0" w:space="0" w:color="auto"/>
      </w:divBdr>
    </w:div>
    <w:div w:id="814030227">
      <w:bodyDiv w:val="1"/>
      <w:marLeft w:val="0"/>
      <w:marRight w:val="0"/>
      <w:marTop w:val="0"/>
      <w:marBottom w:val="0"/>
      <w:divBdr>
        <w:top w:val="none" w:sz="0" w:space="0" w:color="auto"/>
        <w:left w:val="none" w:sz="0" w:space="0" w:color="auto"/>
        <w:bottom w:val="none" w:sz="0" w:space="0" w:color="auto"/>
        <w:right w:val="none" w:sz="0" w:space="0" w:color="auto"/>
      </w:divBdr>
      <w:divsChild>
        <w:div w:id="1519269172">
          <w:marLeft w:val="0"/>
          <w:marRight w:val="0"/>
          <w:marTop w:val="0"/>
          <w:marBottom w:val="0"/>
          <w:divBdr>
            <w:top w:val="none" w:sz="0" w:space="0" w:color="auto"/>
            <w:left w:val="none" w:sz="0" w:space="0" w:color="auto"/>
            <w:bottom w:val="none" w:sz="0" w:space="0" w:color="auto"/>
            <w:right w:val="none" w:sz="0" w:space="0" w:color="auto"/>
          </w:divBdr>
          <w:divsChild>
            <w:div w:id="1743016233">
              <w:marLeft w:val="0"/>
              <w:marRight w:val="0"/>
              <w:marTop w:val="0"/>
              <w:marBottom w:val="0"/>
              <w:divBdr>
                <w:top w:val="none" w:sz="0" w:space="0" w:color="auto"/>
                <w:left w:val="none" w:sz="0" w:space="0" w:color="auto"/>
                <w:bottom w:val="none" w:sz="0" w:space="0" w:color="auto"/>
                <w:right w:val="none" w:sz="0" w:space="0" w:color="auto"/>
              </w:divBdr>
              <w:divsChild>
                <w:div w:id="106897303">
                  <w:marLeft w:val="0"/>
                  <w:marRight w:val="0"/>
                  <w:marTop w:val="0"/>
                  <w:marBottom w:val="0"/>
                  <w:divBdr>
                    <w:top w:val="none" w:sz="0" w:space="0" w:color="auto"/>
                    <w:left w:val="none" w:sz="0" w:space="0" w:color="auto"/>
                    <w:bottom w:val="none" w:sz="0" w:space="0" w:color="auto"/>
                    <w:right w:val="none" w:sz="0" w:space="0" w:color="auto"/>
                  </w:divBdr>
                  <w:divsChild>
                    <w:div w:id="1593659371">
                      <w:marLeft w:val="0"/>
                      <w:marRight w:val="0"/>
                      <w:marTop w:val="0"/>
                      <w:marBottom w:val="0"/>
                      <w:divBdr>
                        <w:top w:val="none" w:sz="0" w:space="0" w:color="auto"/>
                        <w:left w:val="none" w:sz="0" w:space="0" w:color="auto"/>
                        <w:bottom w:val="none" w:sz="0" w:space="0" w:color="auto"/>
                        <w:right w:val="none" w:sz="0" w:space="0" w:color="auto"/>
                      </w:divBdr>
                      <w:divsChild>
                        <w:div w:id="136748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81735">
              <w:marLeft w:val="0"/>
              <w:marRight w:val="0"/>
              <w:marTop w:val="0"/>
              <w:marBottom w:val="0"/>
              <w:divBdr>
                <w:top w:val="none" w:sz="0" w:space="0" w:color="auto"/>
                <w:left w:val="none" w:sz="0" w:space="0" w:color="auto"/>
                <w:bottom w:val="none" w:sz="0" w:space="0" w:color="auto"/>
                <w:right w:val="none" w:sz="0" w:space="0" w:color="auto"/>
              </w:divBdr>
              <w:divsChild>
                <w:div w:id="160098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914452">
          <w:marLeft w:val="0"/>
          <w:marRight w:val="0"/>
          <w:marTop w:val="0"/>
          <w:marBottom w:val="0"/>
          <w:divBdr>
            <w:top w:val="none" w:sz="0" w:space="0" w:color="auto"/>
            <w:left w:val="none" w:sz="0" w:space="0" w:color="auto"/>
            <w:bottom w:val="none" w:sz="0" w:space="0" w:color="auto"/>
            <w:right w:val="none" w:sz="0" w:space="0" w:color="auto"/>
          </w:divBdr>
          <w:divsChild>
            <w:div w:id="1298998167">
              <w:marLeft w:val="0"/>
              <w:marRight w:val="0"/>
              <w:marTop w:val="0"/>
              <w:marBottom w:val="0"/>
              <w:divBdr>
                <w:top w:val="none" w:sz="0" w:space="0" w:color="auto"/>
                <w:left w:val="none" w:sz="0" w:space="0" w:color="auto"/>
                <w:bottom w:val="none" w:sz="0" w:space="0" w:color="auto"/>
                <w:right w:val="none" w:sz="0" w:space="0" w:color="auto"/>
              </w:divBdr>
              <w:divsChild>
                <w:div w:id="1744915555">
                  <w:marLeft w:val="0"/>
                  <w:marRight w:val="0"/>
                  <w:marTop w:val="0"/>
                  <w:marBottom w:val="0"/>
                  <w:divBdr>
                    <w:top w:val="none" w:sz="0" w:space="0" w:color="auto"/>
                    <w:left w:val="none" w:sz="0" w:space="0" w:color="auto"/>
                    <w:bottom w:val="none" w:sz="0" w:space="0" w:color="auto"/>
                    <w:right w:val="none" w:sz="0" w:space="0" w:color="auto"/>
                  </w:divBdr>
                  <w:divsChild>
                    <w:div w:id="1536194437">
                      <w:marLeft w:val="0"/>
                      <w:marRight w:val="0"/>
                      <w:marTop w:val="0"/>
                      <w:marBottom w:val="0"/>
                      <w:divBdr>
                        <w:top w:val="none" w:sz="0" w:space="0" w:color="auto"/>
                        <w:left w:val="none" w:sz="0" w:space="0" w:color="auto"/>
                        <w:bottom w:val="none" w:sz="0" w:space="0" w:color="auto"/>
                        <w:right w:val="none" w:sz="0" w:space="0" w:color="auto"/>
                      </w:divBdr>
                      <w:divsChild>
                        <w:div w:id="473068107">
                          <w:marLeft w:val="0"/>
                          <w:marRight w:val="0"/>
                          <w:marTop w:val="0"/>
                          <w:marBottom w:val="0"/>
                          <w:divBdr>
                            <w:top w:val="none" w:sz="0" w:space="0" w:color="auto"/>
                            <w:left w:val="none" w:sz="0" w:space="0" w:color="auto"/>
                            <w:bottom w:val="none" w:sz="0" w:space="0" w:color="auto"/>
                            <w:right w:val="none" w:sz="0" w:space="0" w:color="auto"/>
                          </w:divBdr>
                          <w:divsChild>
                            <w:div w:id="88567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785936">
                  <w:marLeft w:val="0"/>
                  <w:marRight w:val="0"/>
                  <w:marTop w:val="0"/>
                  <w:marBottom w:val="0"/>
                  <w:divBdr>
                    <w:top w:val="none" w:sz="0" w:space="0" w:color="auto"/>
                    <w:left w:val="none" w:sz="0" w:space="0" w:color="auto"/>
                    <w:bottom w:val="none" w:sz="0" w:space="0" w:color="auto"/>
                    <w:right w:val="none" w:sz="0" w:space="0" w:color="auto"/>
                  </w:divBdr>
                  <w:divsChild>
                    <w:div w:id="155256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402962">
      <w:bodyDiv w:val="1"/>
      <w:marLeft w:val="0"/>
      <w:marRight w:val="0"/>
      <w:marTop w:val="0"/>
      <w:marBottom w:val="0"/>
      <w:divBdr>
        <w:top w:val="none" w:sz="0" w:space="0" w:color="auto"/>
        <w:left w:val="none" w:sz="0" w:space="0" w:color="auto"/>
        <w:bottom w:val="none" w:sz="0" w:space="0" w:color="auto"/>
        <w:right w:val="none" w:sz="0" w:space="0" w:color="auto"/>
      </w:divBdr>
    </w:div>
    <w:div w:id="889151711">
      <w:bodyDiv w:val="1"/>
      <w:marLeft w:val="0"/>
      <w:marRight w:val="0"/>
      <w:marTop w:val="0"/>
      <w:marBottom w:val="0"/>
      <w:divBdr>
        <w:top w:val="none" w:sz="0" w:space="0" w:color="auto"/>
        <w:left w:val="none" w:sz="0" w:space="0" w:color="auto"/>
        <w:bottom w:val="none" w:sz="0" w:space="0" w:color="auto"/>
        <w:right w:val="none" w:sz="0" w:space="0" w:color="auto"/>
      </w:divBdr>
    </w:div>
    <w:div w:id="912936891">
      <w:bodyDiv w:val="1"/>
      <w:marLeft w:val="0"/>
      <w:marRight w:val="0"/>
      <w:marTop w:val="0"/>
      <w:marBottom w:val="0"/>
      <w:divBdr>
        <w:top w:val="none" w:sz="0" w:space="0" w:color="auto"/>
        <w:left w:val="none" w:sz="0" w:space="0" w:color="auto"/>
        <w:bottom w:val="none" w:sz="0" w:space="0" w:color="auto"/>
        <w:right w:val="none" w:sz="0" w:space="0" w:color="auto"/>
      </w:divBdr>
      <w:divsChild>
        <w:div w:id="2067144533">
          <w:marLeft w:val="0"/>
          <w:marRight w:val="0"/>
          <w:marTop w:val="0"/>
          <w:marBottom w:val="0"/>
          <w:divBdr>
            <w:top w:val="none" w:sz="0" w:space="0" w:color="auto"/>
            <w:left w:val="none" w:sz="0" w:space="0" w:color="auto"/>
            <w:bottom w:val="none" w:sz="0" w:space="0" w:color="auto"/>
            <w:right w:val="none" w:sz="0" w:space="0" w:color="auto"/>
          </w:divBdr>
          <w:divsChild>
            <w:div w:id="2002152112">
              <w:marLeft w:val="0"/>
              <w:marRight w:val="0"/>
              <w:marTop w:val="0"/>
              <w:marBottom w:val="0"/>
              <w:divBdr>
                <w:top w:val="none" w:sz="0" w:space="0" w:color="auto"/>
                <w:left w:val="none" w:sz="0" w:space="0" w:color="auto"/>
                <w:bottom w:val="none" w:sz="0" w:space="0" w:color="auto"/>
                <w:right w:val="none" w:sz="0" w:space="0" w:color="auto"/>
              </w:divBdr>
              <w:divsChild>
                <w:div w:id="1770469863">
                  <w:marLeft w:val="0"/>
                  <w:marRight w:val="0"/>
                  <w:marTop w:val="0"/>
                  <w:marBottom w:val="0"/>
                  <w:divBdr>
                    <w:top w:val="none" w:sz="0" w:space="0" w:color="auto"/>
                    <w:left w:val="none" w:sz="0" w:space="0" w:color="auto"/>
                    <w:bottom w:val="none" w:sz="0" w:space="0" w:color="auto"/>
                    <w:right w:val="none" w:sz="0" w:space="0" w:color="auto"/>
                  </w:divBdr>
                  <w:divsChild>
                    <w:div w:id="134960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844807">
          <w:marLeft w:val="0"/>
          <w:marRight w:val="0"/>
          <w:marTop w:val="0"/>
          <w:marBottom w:val="0"/>
          <w:divBdr>
            <w:top w:val="none" w:sz="0" w:space="0" w:color="auto"/>
            <w:left w:val="none" w:sz="0" w:space="0" w:color="auto"/>
            <w:bottom w:val="none" w:sz="0" w:space="0" w:color="auto"/>
            <w:right w:val="none" w:sz="0" w:space="0" w:color="auto"/>
          </w:divBdr>
          <w:divsChild>
            <w:div w:id="55890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269214">
      <w:bodyDiv w:val="1"/>
      <w:marLeft w:val="0"/>
      <w:marRight w:val="0"/>
      <w:marTop w:val="0"/>
      <w:marBottom w:val="0"/>
      <w:divBdr>
        <w:top w:val="none" w:sz="0" w:space="0" w:color="auto"/>
        <w:left w:val="none" w:sz="0" w:space="0" w:color="auto"/>
        <w:bottom w:val="none" w:sz="0" w:space="0" w:color="auto"/>
        <w:right w:val="none" w:sz="0" w:space="0" w:color="auto"/>
      </w:divBdr>
      <w:divsChild>
        <w:div w:id="1736775597">
          <w:marLeft w:val="0"/>
          <w:marRight w:val="0"/>
          <w:marTop w:val="0"/>
          <w:marBottom w:val="0"/>
          <w:divBdr>
            <w:top w:val="none" w:sz="0" w:space="0" w:color="auto"/>
            <w:left w:val="none" w:sz="0" w:space="0" w:color="auto"/>
            <w:bottom w:val="none" w:sz="0" w:space="0" w:color="auto"/>
            <w:right w:val="none" w:sz="0" w:space="0" w:color="auto"/>
          </w:divBdr>
          <w:divsChild>
            <w:div w:id="730079620">
              <w:marLeft w:val="0"/>
              <w:marRight w:val="0"/>
              <w:marTop w:val="0"/>
              <w:marBottom w:val="0"/>
              <w:divBdr>
                <w:top w:val="none" w:sz="0" w:space="0" w:color="auto"/>
                <w:left w:val="none" w:sz="0" w:space="0" w:color="auto"/>
                <w:bottom w:val="none" w:sz="0" w:space="0" w:color="auto"/>
                <w:right w:val="none" w:sz="0" w:space="0" w:color="auto"/>
              </w:divBdr>
              <w:divsChild>
                <w:div w:id="54361111">
                  <w:marLeft w:val="0"/>
                  <w:marRight w:val="0"/>
                  <w:marTop w:val="0"/>
                  <w:marBottom w:val="0"/>
                  <w:divBdr>
                    <w:top w:val="none" w:sz="0" w:space="0" w:color="auto"/>
                    <w:left w:val="none" w:sz="0" w:space="0" w:color="auto"/>
                    <w:bottom w:val="none" w:sz="0" w:space="0" w:color="auto"/>
                    <w:right w:val="none" w:sz="0" w:space="0" w:color="auto"/>
                  </w:divBdr>
                  <w:divsChild>
                    <w:div w:id="75027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574274">
          <w:marLeft w:val="0"/>
          <w:marRight w:val="0"/>
          <w:marTop w:val="0"/>
          <w:marBottom w:val="0"/>
          <w:divBdr>
            <w:top w:val="none" w:sz="0" w:space="0" w:color="auto"/>
            <w:left w:val="none" w:sz="0" w:space="0" w:color="auto"/>
            <w:bottom w:val="none" w:sz="0" w:space="0" w:color="auto"/>
            <w:right w:val="none" w:sz="0" w:space="0" w:color="auto"/>
          </w:divBdr>
          <w:divsChild>
            <w:div w:id="2020346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134237">
      <w:bodyDiv w:val="1"/>
      <w:marLeft w:val="0"/>
      <w:marRight w:val="0"/>
      <w:marTop w:val="0"/>
      <w:marBottom w:val="0"/>
      <w:divBdr>
        <w:top w:val="none" w:sz="0" w:space="0" w:color="auto"/>
        <w:left w:val="none" w:sz="0" w:space="0" w:color="auto"/>
        <w:bottom w:val="none" w:sz="0" w:space="0" w:color="auto"/>
        <w:right w:val="none" w:sz="0" w:space="0" w:color="auto"/>
      </w:divBdr>
      <w:divsChild>
        <w:div w:id="771439474">
          <w:marLeft w:val="0"/>
          <w:marRight w:val="0"/>
          <w:marTop w:val="0"/>
          <w:marBottom w:val="0"/>
          <w:divBdr>
            <w:top w:val="none" w:sz="0" w:space="0" w:color="auto"/>
            <w:left w:val="none" w:sz="0" w:space="0" w:color="auto"/>
            <w:bottom w:val="none" w:sz="0" w:space="0" w:color="auto"/>
            <w:right w:val="none" w:sz="0" w:space="0" w:color="auto"/>
          </w:divBdr>
          <w:divsChild>
            <w:div w:id="1944065787">
              <w:marLeft w:val="0"/>
              <w:marRight w:val="0"/>
              <w:marTop w:val="0"/>
              <w:marBottom w:val="0"/>
              <w:divBdr>
                <w:top w:val="none" w:sz="0" w:space="0" w:color="auto"/>
                <w:left w:val="none" w:sz="0" w:space="0" w:color="auto"/>
                <w:bottom w:val="none" w:sz="0" w:space="0" w:color="auto"/>
                <w:right w:val="none" w:sz="0" w:space="0" w:color="auto"/>
              </w:divBdr>
              <w:divsChild>
                <w:div w:id="956066129">
                  <w:marLeft w:val="0"/>
                  <w:marRight w:val="0"/>
                  <w:marTop w:val="0"/>
                  <w:marBottom w:val="0"/>
                  <w:divBdr>
                    <w:top w:val="none" w:sz="0" w:space="0" w:color="auto"/>
                    <w:left w:val="none" w:sz="0" w:space="0" w:color="auto"/>
                    <w:bottom w:val="none" w:sz="0" w:space="0" w:color="auto"/>
                    <w:right w:val="none" w:sz="0" w:space="0" w:color="auto"/>
                  </w:divBdr>
                  <w:divsChild>
                    <w:div w:id="1723945564">
                      <w:marLeft w:val="0"/>
                      <w:marRight w:val="0"/>
                      <w:marTop w:val="0"/>
                      <w:marBottom w:val="0"/>
                      <w:divBdr>
                        <w:top w:val="none" w:sz="0" w:space="0" w:color="auto"/>
                        <w:left w:val="none" w:sz="0" w:space="0" w:color="auto"/>
                        <w:bottom w:val="none" w:sz="0" w:space="0" w:color="auto"/>
                        <w:right w:val="none" w:sz="0" w:space="0" w:color="auto"/>
                      </w:divBdr>
                      <w:divsChild>
                        <w:div w:id="954558450">
                          <w:marLeft w:val="0"/>
                          <w:marRight w:val="0"/>
                          <w:marTop w:val="0"/>
                          <w:marBottom w:val="0"/>
                          <w:divBdr>
                            <w:top w:val="none" w:sz="0" w:space="0" w:color="auto"/>
                            <w:left w:val="none" w:sz="0" w:space="0" w:color="auto"/>
                            <w:bottom w:val="none" w:sz="0" w:space="0" w:color="auto"/>
                            <w:right w:val="none" w:sz="0" w:space="0" w:color="auto"/>
                          </w:divBdr>
                          <w:divsChild>
                            <w:div w:id="529881379">
                              <w:marLeft w:val="0"/>
                              <w:marRight w:val="0"/>
                              <w:marTop w:val="0"/>
                              <w:marBottom w:val="0"/>
                              <w:divBdr>
                                <w:top w:val="none" w:sz="0" w:space="0" w:color="auto"/>
                                <w:left w:val="none" w:sz="0" w:space="0" w:color="auto"/>
                                <w:bottom w:val="none" w:sz="0" w:space="0" w:color="auto"/>
                                <w:right w:val="none" w:sz="0" w:space="0" w:color="auto"/>
                              </w:divBdr>
                              <w:divsChild>
                                <w:div w:id="1255016823">
                                  <w:marLeft w:val="0"/>
                                  <w:marRight w:val="0"/>
                                  <w:marTop w:val="0"/>
                                  <w:marBottom w:val="0"/>
                                  <w:divBdr>
                                    <w:top w:val="none" w:sz="0" w:space="0" w:color="auto"/>
                                    <w:left w:val="none" w:sz="0" w:space="0" w:color="auto"/>
                                    <w:bottom w:val="none" w:sz="0" w:space="0" w:color="auto"/>
                                    <w:right w:val="none" w:sz="0" w:space="0" w:color="auto"/>
                                  </w:divBdr>
                                  <w:divsChild>
                                    <w:div w:id="328991172">
                                      <w:marLeft w:val="0"/>
                                      <w:marRight w:val="0"/>
                                      <w:marTop w:val="0"/>
                                      <w:marBottom w:val="0"/>
                                      <w:divBdr>
                                        <w:top w:val="none" w:sz="0" w:space="0" w:color="auto"/>
                                        <w:left w:val="none" w:sz="0" w:space="0" w:color="auto"/>
                                        <w:bottom w:val="none" w:sz="0" w:space="0" w:color="auto"/>
                                        <w:right w:val="none" w:sz="0" w:space="0" w:color="auto"/>
                                      </w:divBdr>
                                      <w:divsChild>
                                        <w:div w:id="1046179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3890665">
          <w:marLeft w:val="0"/>
          <w:marRight w:val="0"/>
          <w:marTop w:val="0"/>
          <w:marBottom w:val="0"/>
          <w:divBdr>
            <w:top w:val="none" w:sz="0" w:space="0" w:color="auto"/>
            <w:left w:val="none" w:sz="0" w:space="0" w:color="auto"/>
            <w:bottom w:val="none" w:sz="0" w:space="0" w:color="auto"/>
            <w:right w:val="none" w:sz="0" w:space="0" w:color="auto"/>
          </w:divBdr>
          <w:divsChild>
            <w:div w:id="394668463">
              <w:marLeft w:val="0"/>
              <w:marRight w:val="0"/>
              <w:marTop w:val="0"/>
              <w:marBottom w:val="0"/>
              <w:divBdr>
                <w:top w:val="none" w:sz="0" w:space="0" w:color="auto"/>
                <w:left w:val="none" w:sz="0" w:space="0" w:color="auto"/>
                <w:bottom w:val="none" w:sz="0" w:space="0" w:color="auto"/>
                <w:right w:val="none" w:sz="0" w:space="0" w:color="auto"/>
              </w:divBdr>
              <w:divsChild>
                <w:div w:id="538396364">
                  <w:marLeft w:val="0"/>
                  <w:marRight w:val="0"/>
                  <w:marTop w:val="0"/>
                  <w:marBottom w:val="0"/>
                  <w:divBdr>
                    <w:top w:val="none" w:sz="0" w:space="0" w:color="auto"/>
                    <w:left w:val="none" w:sz="0" w:space="0" w:color="auto"/>
                    <w:bottom w:val="none" w:sz="0" w:space="0" w:color="auto"/>
                    <w:right w:val="none" w:sz="0" w:space="0" w:color="auto"/>
                  </w:divBdr>
                  <w:divsChild>
                    <w:div w:id="772895853">
                      <w:marLeft w:val="0"/>
                      <w:marRight w:val="0"/>
                      <w:marTop w:val="0"/>
                      <w:marBottom w:val="0"/>
                      <w:divBdr>
                        <w:top w:val="none" w:sz="0" w:space="0" w:color="auto"/>
                        <w:left w:val="none" w:sz="0" w:space="0" w:color="auto"/>
                        <w:bottom w:val="none" w:sz="0" w:space="0" w:color="auto"/>
                        <w:right w:val="none" w:sz="0" w:space="0" w:color="auto"/>
                      </w:divBdr>
                      <w:divsChild>
                        <w:div w:id="1163354273">
                          <w:marLeft w:val="0"/>
                          <w:marRight w:val="0"/>
                          <w:marTop w:val="0"/>
                          <w:marBottom w:val="0"/>
                          <w:divBdr>
                            <w:top w:val="none" w:sz="0" w:space="0" w:color="auto"/>
                            <w:left w:val="none" w:sz="0" w:space="0" w:color="auto"/>
                            <w:bottom w:val="none" w:sz="0" w:space="0" w:color="auto"/>
                            <w:right w:val="none" w:sz="0" w:space="0" w:color="auto"/>
                          </w:divBdr>
                          <w:divsChild>
                            <w:div w:id="298000178">
                              <w:marLeft w:val="0"/>
                              <w:marRight w:val="0"/>
                              <w:marTop w:val="0"/>
                              <w:marBottom w:val="0"/>
                              <w:divBdr>
                                <w:top w:val="none" w:sz="0" w:space="0" w:color="auto"/>
                                <w:left w:val="none" w:sz="0" w:space="0" w:color="auto"/>
                                <w:bottom w:val="none" w:sz="0" w:space="0" w:color="auto"/>
                                <w:right w:val="none" w:sz="0" w:space="0" w:color="auto"/>
                              </w:divBdr>
                              <w:divsChild>
                                <w:div w:id="286399877">
                                  <w:marLeft w:val="0"/>
                                  <w:marRight w:val="0"/>
                                  <w:marTop w:val="0"/>
                                  <w:marBottom w:val="0"/>
                                  <w:divBdr>
                                    <w:top w:val="none" w:sz="0" w:space="0" w:color="auto"/>
                                    <w:left w:val="none" w:sz="0" w:space="0" w:color="auto"/>
                                    <w:bottom w:val="none" w:sz="0" w:space="0" w:color="auto"/>
                                    <w:right w:val="none" w:sz="0" w:space="0" w:color="auto"/>
                                  </w:divBdr>
                                  <w:divsChild>
                                    <w:div w:id="2146661248">
                                      <w:marLeft w:val="0"/>
                                      <w:marRight w:val="0"/>
                                      <w:marTop w:val="0"/>
                                      <w:marBottom w:val="0"/>
                                      <w:divBdr>
                                        <w:top w:val="none" w:sz="0" w:space="0" w:color="auto"/>
                                        <w:left w:val="none" w:sz="0" w:space="0" w:color="auto"/>
                                        <w:bottom w:val="none" w:sz="0" w:space="0" w:color="auto"/>
                                        <w:right w:val="none" w:sz="0" w:space="0" w:color="auto"/>
                                      </w:divBdr>
                                      <w:divsChild>
                                        <w:div w:id="455560801">
                                          <w:marLeft w:val="0"/>
                                          <w:marRight w:val="0"/>
                                          <w:marTop w:val="0"/>
                                          <w:marBottom w:val="0"/>
                                          <w:divBdr>
                                            <w:top w:val="none" w:sz="0" w:space="0" w:color="auto"/>
                                            <w:left w:val="none" w:sz="0" w:space="0" w:color="auto"/>
                                            <w:bottom w:val="none" w:sz="0" w:space="0" w:color="auto"/>
                                            <w:right w:val="none" w:sz="0" w:space="0" w:color="auto"/>
                                          </w:divBdr>
                                          <w:divsChild>
                                            <w:div w:id="1042513842">
                                              <w:marLeft w:val="0"/>
                                              <w:marRight w:val="0"/>
                                              <w:marTop w:val="0"/>
                                              <w:marBottom w:val="0"/>
                                              <w:divBdr>
                                                <w:top w:val="none" w:sz="0" w:space="0" w:color="auto"/>
                                                <w:left w:val="none" w:sz="0" w:space="0" w:color="auto"/>
                                                <w:bottom w:val="none" w:sz="0" w:space="0" w:color="auto"/>
                                                <w:right w:val="none" w:sz="0" w:space="0" w:color="auto"/>
                                              </w:divBdr>
                                              <w:divsChild>
                                                <w:div w:id="361784968">
                                                  <w:marLeft w:val="0"/>
                                                  <w:marRight w:val="0"/>
                                                  <w:marTop w:val="0"/>
                                                  <w:marBottom w:val="0"/>
                                                  <w:divBdr>
                                                    <w:top w:val="none" w:sz="0" w:space="0" w:color="auto"/>
                                                    <w:left w:val="none" w:sz="0" w:space="0" w:color="auto"/>
                                                    <w:bottom w:val="none" w:sz="0" w:space="0" w:color="auto"/>
                                                    <w:right w:val="none" w:sz="0" w:space="0" w:color="auto"/>
                                                  </w:divBdr>
                                                </w:div>
                                                <w:div w:id="666861118">
                                                  <w:marLeft w:val="0"/>
                                                  <w:marRight w:val="0"/>
                                                  <w:marTop w:val="0"/>
                                                  <w:marBottom w:val="0"/>
                                                  <w:divBdr>
                                                    <w:top w:val="none" w:sz="0" w:space="0" w:color="auto"/>
                                                    <w:left w:val="none" w:sz="0" w:space="0" w:color="auto"/>
                                                    <w:bottom w:val="none" w:sz="0" w:space="0" w:color="auto"/>
                                                    <w:right w:val="none" w:sz="0" w:space="0" w:color="auto"/>
                                                  </w:divBdr>
                                                </w:div>
                                              </w:divsChild>
                                            </w:div>
                                            <w:div w:id="211007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8566691">
          <w:marLeft w:val="0"/>
          <w:marRight w:val="0"/>
          <w:marTop w:val="0"/>
          <w:marBottom w:val="0"/>
          <w:divBdr>
            <w:top w:val="none" w:sz="0" w:space="0" w:color="auto"/>
            <w:left w:val="none" w:sz="0" w:space="0" w:color="auto"/>
            <w:bottom w:val="none" w:sz="0" w:space="0" w:color="auto"/>
            <w:right w:val="none" w:sz="0" w:space="0" w:color="auto"/>
          </w:divBdr>
          <w:divsChild>
            <w:div w:id="2044013082">
              <w:marLeft w:val="0"/>
              <w:marRight w:val="0"/>
              <w:marTop w:val="0"/>
              <w:marBottom w:val="0"/>
              <w:divBdr>
                <w:top w:val="none" w:sz="0" w:space="0" w:color="auto"/>
                <w:left w:val="none" w:sz="0" w:space="0" w:color="auto"/>
                <w:bottom w:val="none" w:sz="0" w:space="0" w:color="auto"/>
                <w:right w:val="none" w:sz="0" w:space="0" w:color="auto"/>
              </w:divBdr>
              <w:divsChild>
                <w:div w:id="1155415544">
                  <w:marLeft w:val="0"/>
                  <w:marRight w:val="0"/>
                  <w:marTop w:val="0"/>
                  <w:marBottom w:val="0"/>
                  <w:divBdr>
                    <w:top w:val="none" w:sz="0" w:space="0" w:color="auto"/>
                    <w:left w:val="none" w:sz="0" w:space="0" w:color="auto"/>
                    <w:bottom w:val="none" w:sz="0" w:space="0" w:color="auto"/>
                    <w:right w:val="none" w:sz="0" w:space="0" w:color="auto"/>
                  </w:divBdr>
                  <w:divsChild>
                    <w:div w:id="1960843401">
                      <w:marLeft w:val="0"/>
                      <w:marRight w:val="0"/>
                      <w:marTop w:val="0"/>
                      <w:marBottom w:val="0"/>
                      <w:divBdr>
                        <w:top w:val="none" w:sz="0" w:space="0" w:color="auto"/>
                        <w:left w:val="none" w:sz="0" w:space="0" w:color="auto"/>
                        <w:bottom w:val="none" w:sz="0" w:space="0" w:color="auto"/>
                        <w:right w:val="none" w:sz="0" w:space="0" w:color="auto"/>
                      </w:divBdr>
                      <w:divsChild>
                        <w:div w:id="2035569126">
                          <w:marLeft w:val="0"/>
                          <w:marRight w:val="0"/>
                          <w:marTop w:val="0"/>
                          <w:marBottom w:val="0"/>
                          <w:divBdr>
                            <w:top w:val="none" w:sz="0" w:space="0" w:color="auto"/>
                            <w:left w:val="none" w:sz="0" w:space="0" w:color="auto"/>
                            <w:bottom w:val="none" w:sz="0" w:space="0" w:color="auto"/>
                            <w:right w:val="none" w:sz="0" w:space="0" w:color="auto"/>
                          </w:divBdr>
                          <w:divsChild>
                            <w:div w:id="1441990029">
                              <w:marLeft w:val="0"/>
                              <w:marRight w:val="0"/>
                              <w:marTop w:val="0"/>
                              <w:marBottom w:val="0"/>
                              <w:divBdr>
                                <w:top w:val="none" w:sz="0" w:space="0" w:color="auto"/>
                                <w:left w:val="none" w:sz="0" w:space="0" w:color="auto"/>
                                <w:bottom w:val="none" w:sz="0" w:space="0" w:color="auto"/>
                                <w:right w:val="none" w:sz="0" w:space="0" w:color="auto"/>
                              </w:divBdr>
                              <w:divsChild>
                                <w:div w:id="121118100">
                                  <w:marLeft w:val="0"/>
                                  <w:marRight w:val="0"/>
                                  <w:marTop w:val="0"/>
                                  <w:marBottom w:val="0"/>
                                  <w:divBdr>
                                    <w:top w:val="none" w:sz="0" w:space="0" w:color="auto"/>
                                    <w:left w:val="none" w:sz="0" w:space="0" w:color="auto"/>
                                    <w:bottom w:val="none" w:sz="0" w:space="0" w:color="auto"/>
                                    <w:right w:val="none" w:sz="0" w:space="0" w:color="auto"/>
                                  </w:divBdr>
                                  <w:divsChild>
                                    <w:div w:id="797456328">
                                      <w:marLeft w:val="0"/>
                                      <w:marRight w:val="0"/>
                                      <w:marTop w:val="0"/>
                                      <w:marBottom w:val="0"/>
                                      <w:divBdr>
                                        <w:top w:val="none" w:sz="0" w:space="0" w:color="auto"/>
                                        <w:left w:val="none" w:sz="0" w:space="0" w:color="auto"/>
                                        <w:bottom w:val="none" w:sz="0" w:space="0" w:color="auto"/>
                                        <w:right w:val="none" w:sz="0" w:space="0" w:color="auto"/>
                                      </w:divBdr>
                                      <w:divsChild>
                                        <w:div w:id="95895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4404781">
          <w:marLeft w:val="0"/>
          <w:marRight w:val="0"/>
          <w:marTop w:val="0"/>
          <w:marBottom w:val="0"/>
          <w:divBdr>
            <w:top w:val="none" w:sz="0" w:space="0" w:color="auto"/>
            <w:left w:val="none" w:sz="0" w:space="0" w:color="auto"/>
            <w:bottom w:val="none" w:sz="0" w:space="0" w:color="auto"/>
            <w:right w:val="none" w:sz="0" w:space="0" w:color="auto"/>
          </w:divBdr>
          <w:divsChild>
            <w:div w:id="1846817663">
              <w:marLeft w:val="0"/>
              <w:marRight w:val="0"/>
              <w:marTop w:val="0"/>
              <w:marBottom w:val="0"/>
              <w:divBdr>
                <w:top w:val="none" w:sz="0" w:space="0" w:color="auto"/>
                <w:left w:val="none" w:sz="0" w:space="0" w:color="auto"/>
                <w:bottom w:val="none" w:sz="0" w:space="0" w:color="auto"/>
                <w:right w:val="none" w:sz="0" w:space="0" w:color="auto"/>
              </w:divBdr>
              <w:divsChild>
                <w:div w:id="129372588">
                  <w:marLeft w:val="0"/>
                  <w:marRight w:val="0"/>
                  <w:marTop w:val="0"/>
                  <w:marBottom w:val="0"/>
                  <w:divBdr>
                    <w:top w:val="none" w:sz="0" w:space="0" w:color="auto"/>
                    <w:left w:val="none" w:sz="0" w:space="0" w:color="auto"/>
                    <w:bottom w:val="none" w:sz="0" w:space="0" w:color="auto"/>
                    <w:right w:val="none" w:sz="0" w:space="0" w:color="auto"/>
                  </w:divBdr>
                  <w:divsChild>
                    <w:div w:id="694234492">
                      <w:marLeft w:val="0"/>
                      <w:marRight w:val="0"/>
                      <w:marTop w:val="0"/>
                      <w:marBottom w:val="0"/>
                      <w:divBdr>
                        <w:top w:val="none" w:sz="0" w:space="0" w:color="auto"/>
                        <w:left w:val="none" w:sz="0" w:space="0" w:color="auto"/>
                        <w:bottom w:val="none" w:sz="0" w:space="0" w:color="auto"/>
                        <w:right w:val="none" w:sz="0" w:space="0" w:color="auto"/>
                      </w:divBdr>
                      <w:divsChild>
                        <w:div w:id="1917397006">
                          <w:marLeft w:val="0"/>
                          <w:marRight w:val="0"/>
                          <w:marTop w:val="0"/>
                          <w:marBottom w:val="0"/>
                          <w:divBdr>
                            <w:top w:val="none" w:sz="0" w:space="0" w:color="auto"/>
                            <w:left w:val="none" w:sz="0" w:space="0" w:color="auto"/>
                            <w:bottom w:val="none" w:sz="0" w:space="0" w:color="auto"/>
                            <w:right w:val="none" w:sz="0" w:space="0" w:color="auto"/>
                          </w:divBdr>
                          <w:divsChild>
                            <w:div w:id="1749619473">
                              <w:marLeft w:val="0"/>
                              <w:marRight w:val="0"/>
                              <w:marTop w:val="0"/>
                              <w:marBottom w:val="0"/>
                              <w:divBdr>
                                <w:top w:val="none" w:sz="0" w:space="0" w:color="auto"/>
                                <w:left w:val="none" w:sz="0" w:space="0" w:color="auto"/>
                                <w:bottom w:val="none" w:sz="0" w:space="0" w:color="auto"/>
                                <w:right w:val="none" w:sz="0" w:space="0" w:color="auto"/>
                              </w:divBdr>
                              <w:divsChild>
                                <w:div w:id="1583250970">
                                  <w:marLeft w:val="0"/>
                                  <w:marRight w:val="0"/>
                                  <w:marTop w:val="0"/>
                                  <w:marBottom w:val="0"/>
                                  <w:divBdr>
                                    <w:top w:val="none" w:sz="0" w:space="0" w:color="auto"/>
                                    <w:left w:val="none" w:sz="0" w:space="0" w:color="auto"/>
                                    <w:bottom w:val="none" w:sz="0" w:space="0" w:color="auto"/>
                                    <w:right w:val="none" w:sz="0" w:space="0" w:color="auto"/>
                                  </w:divBdr>
                                  <w:divsChild>
                                    <w:div w:id="3874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7329300">
          <w:marLeft w:val="0"/>
          <w:marRight w:val="0"/>
          <w:marTop w:val="0"/>
          <w:marBottom w:val="0"/>
          <w:divBdr>
            <w:top w:val="none" w:sz="0" w:space="0" w:color="auto"/>
            <w:left w:val="none" w:sz="0" w:space="0" w:color="auto"/>
            <w:bottom w:val="none" w:sz="0" w:space="0" w:color="auto"/>
            <w:right w:val="none" w:sz="0" w:space="0" w:color="auto"/>
          </w:divBdr>
          <w:divsChild>
            <w:div w:id="1826778064">
              <w:marLeft w:val="0"/>
              <w:marRight w:val="0"/>
              <w:marTop w:val="0"/>
              <w:marBottom w:val="0"/>
              <w:divBdr>
                <w:top w:val="none" w:sz="0" w:space="0" w:color="auto"/>
                <w:left w:val="none" w:sz="0" w:space="0" w:color="auto"/>
                <w:bottom w:val="none" w:sz="0" w:space="0" w:color="auto"/>
                <w:right w:val="none" w:sz="0" w:space="0" w:color="auto"/>
              </w:divBdr>
              <w:divsChild>
                <w:div w:id="1501969528">
                  <w:marLeft w:val="0"/>
                  <w:marRight w:val="0"/>
                  <w:marTop w:val="0"/>
                  <w:marBottom w:val="0"/>
                  <w:divBdr>
                    <w:top w:val="none" w:sz="0" w:space="0" w:color="auto"/>
                    <w:left w:val="none" w:sz="0" w:space="0" w:color="auto"/>
                    <w:bottom w:val="none" w:sz="0" w:space="0" w:color="auto"/>
                    <w:right w:val="none" w:sz="0" w:space="0" w:color="auto"/>
                  </w:divBdr>
                  <w:divsChild>
                    <w:div w:id="1585410008">
                      <w:marLeft w:val="0"/>
                      <w:marRight w:val="0"/>
                      <w:marTop w:val="0"/>
                      <w:marBottom w:val="0"/>
                      <w:divBdr>
                        <w:top w:val="none" w:sz="0" w:space="0" w:color="auto"/>
                        <w:left w:val="none" w:sz="0" w:space="0" w:color="auto"/>
                        <w:bottom w:val="none" w:sz="0" w:space="0" w:color="auto"/>
                        <w:right w:val="none" w:sz="0" w:space="0" w:color="auto"/>
                      </w:divBdr>
                      <w:divsChild>
                        <w:div w:id="2047368344">
                          <w:marLeft w:val="0"/>
                          <w:marRight w:val="0"/>
                          <w:marTop w:val="0"/>
                          <w:marBottom w:val="0"/>
                          <w:divBdr>
                            <w:top w:val="none" w:sz="0" w:space="0" w:color="auto"/>
                            <w:left w:val="none" w:sz="0" w:space="0" w:color="auto"/>
                            <w:bottom w:val="none" w:sz="0" w:space="0" w:color="auto"/>
                            <w:right w:val="none" w:sz="0" w:space="0" w:color="auto"/>
                          </w:divBdr>
                          <w:divsChild>
                            <w:div w:id="1276062192">
                              <w:marLeft w:val="0"/>
                              <w:marRight w:val="0"/>
                              <w:marTop w:val="0"/>
                              <w:marBottom w:val="0"/>
                              <w:divBdr>
                                <w:top w:val="none" w:sz="0" w:space="0" w:color="auto"/>
                                <w:left w:val="none" w:sz="0" w:space="0" w:color="auto"/>
                                <w:bottom w:val="none" w:sz="0" w:space="0" w:color="auto"/>
                                <w:right w:val="none" w:sz="0" w:space="0" w:color="auto"/>
                              </w:divBdr>
                              <w:divsChild>
                                <w:div w:id="608925910">
                                  <w:marLeft w:val="0"/>
                                  <w:marRight w:val="0"/>
                                  <w:marTop w:val="0"/>
                                  <w:marBottom w:val="0"/>
                                  <w:divBdr>
                                    <w:top w:val="none" w:sz="0" w:space="0" w:color="auto"/>
                                    <w:left w:val="none" w:sz="0" w:space="0" w:color="auto"/>
                                    <w:bottom w:val="none" w:sz="0" w:space="0" w:color="auto"/>
                                    <w:right w:val="none" w:sz="0" w:space="0" w:color="auto"/>
                                  </w:divBdr>
                                  <w:divsChild>
                                    <w:div w:id="798717881">
                                      <w:marLeft w:val="0"/>
                                      <w:marRight w:val="0"/>
                                      <w:marTop w:val="0"/>
                                      <w:marBottom w:val="0"/>
                                      <w:divBdr>
                                        <w:top w:val="none" w:sz="0" w:space="0" w:color="auto"/>
                                        <w:left w:val="none" w:sz="0" w:space="0" w:color="auto"/>
                                        <w:bottom w:val="none" w:sz="0" w:space="0" w:color="auto"/>
                                        <w:right w:val="none" w:sz="0" w:space="0" w:color="auto"/>
                                      </w:divBdr>
                                      <w:divsChild>
                                        <w:div w:id="32566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469474">
          <w:marLeft w:val="0"/>
          <w:marRight w:val="0"/>
          <w:marTop w:val="0"/>
          <w:marBottom w:val="0"/>
          <w:divBdr>
            <w:top w:val="none" w:sz="0" w:space="0" w:color="auto"/>
            <w:left w:val="none" w:sz="0" w:space="0" w:color="auto"/>
            <w:bottom w:val="none" w:sz="0" w:space="0" w:color="auto"/>
            <w:right w:val="none" w:sz="0" w:space="0" w:color="auto"/>
          </w:divBdr>
          <w:divsChild>
            <w:div w:id="1931422680">
              <w:marLeft w:val="0"/>
              <w:marRight w:val="0"/>
              <w:marTop w:val="0"/>
              <w:marBottom w:val="0"/>
              <w:divBdr>
                <w:top w:val="none" w:sz="0" w:space="0" w:color="auto"/>
                <w:left w:val="none" w:sz="0" w:space="0" w:color="auto"/>
                <w:bottom w:val="none" w:sz="0" w:space="0" w:color="auto"/>
                <w:right w:val="none" w:sz="0" w:space="0" w:color="auto"/>
              </w:divBdr>
              <w:divsChild>
                <w:div w:id="1168980926">
                  <w:marLeft w:val="0"/>
                  <w:marRight w:val="0"/>
                  <w:marTop w:val="0"/>
                  <w:marBottom w:val="0"/>
                  <w:divBdr>
                    <w:top w:val="none" w:sz="0" w:space="0" w:color="auto"/>
                    <w:left w:val="none" w:sz="0" w:space="0" w:color="auto"/>
                    <w:bottom w:val="none" w:sz="0" w:space="0" w:color="auto"/>
                    <w:right w:val="none" w:sz="0" w:space="0" w:color="auto"/>
                  </w:divBdr>
                  <w:divsChild>
                    <w:div w:id="940337041">
                      <w:marLeft w:val="0"/>
                      <w:marRight w:val="0"/>
                      <w:marTop w:val="0"/>
                      <w:marBottom w:val="0"/>
                      <w:divBdr>
                        <w:top w:val="none" w:sz="0" w:space="0" w:color="auto"/>
                        <w:left w:val="none" w:sz="0" w:space="0" w:color="auto"/>
                        <w:bottom w:val="none" w:sz="0" w:space="0" w:color="auto"/>
                        <w:right w:val="none" w:sz="0" w:space="0" w:color="auto"/>
                      </w:divBdr>
                      <w:divsChild>
                        <w:div w:id="585654063">
                          <w:marLeft w:val="0"/>
                          <w:marRight w:val="0"/>
                          <w:marTop w:val="0"/>
                          <w:marBottom w:val="0"/>
                          <w:divBdr>
                            <w:top w:val="none" w:sz="0" w:space="0" w:color="auto"/>
                            <w:left w:val="none" w:sz="0" w:space="0" w:color="auto"/>
                            <w:bottom w:val="none" w:sz="0" w:space="0" w:color="auto"/>
                            <w:right w:val="none" w:sz="0" w:space="0" w:color="auto"/>
                          </w:divBdr>
                          <w:divsChild>
                            <w:div w:id="1169565296">
                              <w:marLeft w:val="0"/>
                              <w:marRight w:val="0"/>
                              <w:marTop w:val="0"/>
                              <w:marBottom w:val="0"/>
                              <w:divBdr>
                                <w:top w:val="none" w:sz="0" w:space="0" w:color="auto"/>
                                <w:left w:val="none" w:sz="0" w:space="0" w:color="auto"/>
                                <w:bottom w:val="none" w:sz="0" w:space="0" w:color="auto"/>
                                <w:right w:val="none" w:sz="0" w:space="0" w:color="auto"/>
                              </w:divBdr>
                              <w:divsChild>
                                <w:div w:id="1444114301">
                                  <w:marLeft w:val="0"/>
                                  <w:marRight w:val="0"/>
                                  <w:marTop w:val="0"/>
                                  <w:marBottom w:val="0"/>
                                  <w:divBdr>
                                    <w:top w:val="none" w:sz="0" w:space="0" w:color="auto"/>
                                    <w:left w:val="none" w:sz="0" w:space="0" w:color="auto"/>
                                    <w:bottom w:val="none" w:sz="0" w:space="0" w:color="auto"/>
                                    <w:right w:val="none" w:sz="0" w:space="0" w:color="auto"/>
                                  </w:divBdr>
                                  <w:divsChild>
                                    <w:div w:id="2035961994">
                                      <w:marLeft w:val="0"/>
                                      <w:marRight w:val="0"/>
                                      <w:marTop w:val="0"/>
                                      <w:marBottom w:val="0"/>
                                      <w:divBdr>
                                        <w:top w:val="none" w:sz="0" w:space="0" w:color="auto"/>
                                        <w:left w:val="none" w:sz="0" w:space="0" w:color="auto"/>
                                        <w:bottom w:val="none" w:sz="0" w:space="0" w:color="auto"/>
                                        <w:right w:val="none" w:sz="0" w:space="0" w:color="auto"/>
                                      </w:divBdr>
                                      <w:divsChild>
                                        <w:div w:id="2046786849">
                                          <w:marLeft w:val="0"/>
                                          <w:marRight w:val="0"/>
                                          <w:marTop w:val="0"/>
                                          <w:marBottom w:val="0"/>
                                          <w:divBdr>
                                            <w:top w:val="none" w:sz="0" w:space="0" w:color="auto"/>
                                            <w:left w:val="none" w:sz="0" w:space="0" w:color="auto"/>
                                            <w:bottom w:val="none" w:sz="0" w:space="0" w:color="auto"/>
                                            <w:right w:val="none" w:sz="0" w:space="0" w:color="auto"/>
                                          </w:divBdr>
                                          <w:divsChild>
                                            <w:div w:id="746852011">
                                              <w:marLeft w:val="0"/>
                                              <w:marRight w:val="0"/>
                                              <w:marTop w:val="0"/>
                                              <w:marBottom w:val="0"/>
                                              <w:divBdr>
                                                <w:top w:val="none" w:sz="0" w:space="0" w:color="auto"/>
                                                <w:left w:val="none" w:sz="0" w:space="0" w:color="auto"/>
                                                <w:bottom w:val="none" w:sz="0" w:space="0" w:color="auto"/>
                                                <w:right w:val="none" w:sz="0" w:space="0" w:color="auto"/>
                                              </w:divBdr>
                                            </w:div>
                                            <w:div w:id="1551572369">
                                              <w:marLeft w:val="0"/>
                                              <w:marRight w:val="0"/>
                                              <w:marTop w:val="0"/>
                                              <w:marBottom w:val="0"/>
                                              <w:divBdr>
                                                <w:top w:val="none" w:sz="0" w:space="0" w:color="auto"/>
                                                <w:left w:val="none" w:sz="0" w:space="0" w:color="auto"/>
                                                <w:bottom w:val="none" w:sz="0" w:space="0" w:color="auto"/>
                                                <w:right w:val="none" w:sz="0" w:space="0" w:color="auto"/>
                                              </w:divBdr>
                                              <w:divsChild>
                                                <w:div w:id="1099983775">
                                                  <w:marLeft w:val="0"/>
                                                  <w:marRight w:val="0"/>
                                                  <w:marTop w:val="0"/>
                                                  <w:marBottom w:val="0"/>
                                                  <w:divBdr>
                                                    <w:top w:val="none" w:sz="0" w:space="0" w:color="auto"/>
                                                    <w:left w:val="none" w:sz="0" w:space="0" w:color="auto"/>
                                                    <w:bottom w:val="none" w:sz="0" w:space="0" w:color="auto"/>
                                                    <w:right w:val="none" w:sz="0" w:space="0" w:color="auto"/>
                                                  </w:divBdr>
                                                  <w:divsChild>
                                                    <w:div w:id="115633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38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8057347">
          <w:marLeft w:val="0"/>
          <w:marRight w:val="0"/>
          <w:marTop w:val="0"/>
          <w:marBottom w:val="0"/>
          <w:divBdr>
            <w:top w:val="none" w:sz="0" w:space="0" w:color="auto"/>
            <w:left w:val="none" w:sz="0" w:space="0" w:color="auto"/>
            <w:bottom w:val="none" w:sz="0" w:space="0" w:color="auto"/>
            <w:right w:val="none" w:sz="0" w:space="0" w:color="auto"/>
          </w:divBdr>
          <w:divsChild>
            <w:div w:id="812603110">
              <w:marLeft w:val="0"/>
              <w:marRight w:val="0"/>
              <w:marTop w:val="0"/>
              <w:marBottom w:val="0"/>
              <w:divBdr>
                <w:top w:val="none" w:sz="0" w:space="0" w:color="auto"/>
                <w:left w:val="none" w:sz="0" w:space="0" w:color="auto"/>
                <w:bottom w:val="none" w:sz="0" w:space="0" w:color="auto"/>
                <w:right w:val="none" w:sz="0" w:space="0" w:color="auto"/>
              </w:divBdr>
              <w:divsChild>
                <w:div w:id="1126629591">
                  <w:marLeft w:val="0"/>
                  <w:marRight w:val="0"/>
                  <w:marTop w:val="0"/>
                  <w:marBottom w:val="0"/>
                  <w:divBdr>
                    <w:top w:val="none" w:sz="0" w:space="0" w:color="auto"/>
                    <w:left w:val="none" w:sz="0" w:space="0" w:color="auto"/>
                    <w:bottom w:val="none" w:sz="0" w:space="0" w:color="auto"/>
                    <w:right w:val="none" w:sz="0" w:space="0" w:color="auto"/>
                  </w:divBdr>
                  <w:divsChild>
                    <w:div w:id="1682005607">
                      <w:marLeft w:val="0"/>
                      <w:marRight w:val="0"/>
                      <w:marTop w:val="0"/>
                      <w:marBottom w:val="0"/>
                      <w:divBdr>
                        <w:top w:val="none" w:sz="0" w:space="0" w:color="auto"/>
                        <w:left w:val="none" w:sz="0" w:space="0" w:color="auto"/>
                        <w:bottom w:val="none" w:sz="0" w:space="0" w:color="auto"/>
                        <w:right w:val="none" w:sz="0" w:space="0" w:color="auto"/>
                      </w:divBdr>
                      <w:divsChild>
                        <w:div w:id="1298072419">
                          <w:marLeft w:val="0"/>
                          <w:marRight w:val="0"/>
                          <w:marTop w:val="0"/>
                          <w:marBottom w:val="0"/>
                          <w:divBdr>
                            <w:top w:val="none" w:sz="0" w:space="0" w:color="auto"/>
                            <w:left w:val="none" w:sz="0" w:space="0" w:color="auto"/>
                            <w:bottom w:val="none" w:sz="0" w:space="0" w:color="auto"/>
                            <w:right w:val="none" w:sz="0" w:space="0" w:color="auto"/>
                          </w:divBdr>
                          <w:divsChild>
                            <w:div w:id="677270869">
                              <w:marLeft w:val="0"/>
                              <w:marRight w:val="0"/>
                              <w:marTop w:val="0"/>
                              <w:marBottom w:val="0"/>
                              <w:divBdr>
                                <w:top w:val="none" w:sz="0" w:space="0" w:color="auto"/>
                                <w:left w:val="none" w:sz="0" w:space="0" w:color="auto"/>
                                <w:bottom w:val="none" w:sz="0" w:space="0" w:color="auto"/>
                                <w:right w:val="none" w:sz="0" w:space="0" w:color="auto"/>
                              </w:divBdr>
                              <w:divsChild>
                                <w:div w:id="1034501529">
                                  <w:marLeft w:val="0"/>
                                  <w:marRight w:val="0"/>
                                  <w:marTop w:val="0"/>
                                  <w:marBottom w:val="0"/>
                                  <w:divBdr>
                                    <w:top w:val="none" w:sz="0" w:space="0" w:color="auto"/>
                                    <w:left w:val="none" w:sz="0" w:space="0" w:color="auto"/>
                                    <w:bottom w:val="none" w:sz="0" w:space="0" w:color="auto"/>
                                    <w:right w:val="none" w:sz="0" w:space="0" w:color="auto"/>
                                  </w:divBdr>
                                  <w:divsChild>
                                    <w:div w:id="972516054">
                                      <w:marLeft w:val="0"/>
                                      <w:marRight w:val="0"/>
                                      <w:marTop w:val="0"/>
                                      <w:marBottom w:val="0"/>
                                      <w:divBdr>
                                        <w:top w:val="none" w:sz="0" w:space="0" w:color="auto"/>
                                        <w:left w:val="none" w:sz="0" w:space="0" w:color="auto"/>
                                        <w:bottom w:val="none" w:sz="0" w:space="0" w:color="auto"/>
                                        <w:right w:val="none" w:sz="0" w:space="0" w:color="auto"/>
                                      </w:divBdr>
                                      <w:divsChild>
                                        <w:div w:id="606086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8619714">
          <w:marLeft w:val="0"/>
          <w:marRight w:val="0"/>
          <w:marTop w:val="0"/>
          <w:marBottom w:val="0"/>
          <w:divBdr>
            <w:top w:val="none" w:sz="0" w:space="0" w:color="auto"/>
            <w:left w:val="none" w:sz="0" w:space="0" w:color="auto"/>
            <w:bottom w:val="none" w:sz="0" w:space="0" w:color="auto"/>
            <w:right w:val="none" w:sz="0" w:space="0" w:color="auto"/>
          </w:divBdr>
          <w:divsChild>
            <w:div w:id="1990860070">
              <w:marLeft w:val="0"/>
              <w:marRight w:val="0"/>
              <w:marTop w:val="0"/>
              <w:marBottom w:val="0"/>
              <w:divBdr>
                <w:top w:val="none" w:sz="0" w:space="0" w:color="auto"/>
                <w:left w:val="none" w:sz="0" w:space="0" w:color="auto"/>
                <w:bottom w:val="none" w:sz="0" w:space="0" w:color="auto"/>
                <w:right w:val="none" w:sz="0" w:space="0" w:color="auto"/>
              </w:divBdr>
              <w:divsChild>
                <w:div w:id="15692541">
                  <w:marLeft w:val="0"/>
                  <w:marRight w:val="0"/>
                  <w:marTop w:val="0"/>
                  <w:marBottom w:val="0"/>
                  <w:divBdr>
                    <w:top w:val="none" w:sz="0" w:space="0" w:color="auto"/>
                    <w:left w:val="none" w:sz="0" w:space="0" w:color="auto"/>
                    <w:bottom w:val="none" w:sz="0" w:space="0" w:color="auto"/>
                    <w:right w:val="none" w:sz="0" w:space="0" w:color="auto"/>
                  </w:divBdr>
                  <w:divsChild>
                    <w:div w:id="980767459">
                      <w:marLeft w:val="0"/>
                      <w:marRight w:val="0"/>
                      <w:marTop w:val="0"/>
                      <w:marBottom w:val="0"/>
                      <w:divBdr>
                        <w:top w:val="none" w:sz="0" w:space="0" w:color="auto"/>
                        <w:left w:val="none" w:sz="0" w:space="0" w:color="auto"/>
                        <w:bottom w:val="none" w:sz="0" w:space="0" w:color="auto"/>
                        <w:right w:val="none" w:sz="0" w:space="0" w:color="auto"/>
                      </w:divBdr>
                      <w:divsChild>
                        <w:div w:id="1849709155">
                          <w:marLeft w:val="0"/>
                          <w:marRight w:val="0"/>
                          <w:marTop w:val="0"/>
                          <w:marBottom w:val="0"/>
                          <w:divBdr>
                            <w:top w:val="none" w:sz="0" w:space="0" w:color="auto"/>
                            <w:left w:val="none" w:sz="0" w:space="0" w:color="auto"/>
                            <w:bottom w:val="none" w:sz="0" w:space="0" w:color="auto"/>
                            <w:right w:val="none" w:sz="0" w:space="0" w:color="auto"/>
                          </w:divBdr>
                          <w:divsChild>
                            <w:div w:id="503669079">
                              <w:marLeft w:val="0"/>
                              <w:marRight w:val="0"/>
                              <w:marTop w:val="0"/>
                              <w:marBottom w:val="0"/>
                              <w:divBdr>
                                <w:top w:val="none" w:sz="0" w:space="0" w:color="auto"/>
                                <w:left w:val="none" w:sz="0" w:space="0" w:color="auto"/>
                                <w:bottom w:val="none" w:sz="0" w:space="0" w:color="auto"/>
                                <w:right w:val="none" w:sz="0" w:space="0" w:color="auto"/>
                              </w:divBdr>
                              <w:divsChild>
                                <w:div w:id="317006271">
                                  <w:marLeft w:val="0"/>
                                  <w:marRight w:val="0"/>
                                  <w:marTop w:val="0"/>
                                  <w:marBottom w:val="0"/>
                                  <w:divBdr>
                                    <w:top w:val="none" w:sz="0" w:space="0" w:color="auto"/>
                                    <w:left w:val="none" w:sz="0" w:space="0" w:color="auto"/>
                                    <w:bottom w:val="none" w:sz="0" w:space="0" w:color="auto"/>
                                    <w:right w:val="none" w:sz="0" w:space="0" w:color="auto"/>
                                  </w:divBdr>
                                  <w:divsChild>
                                    <w:div w:id="118706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6098494">
      <w:bodyDiv w:val="1"/>
      <w:marLeft w:val="0"/>
      <w:marRight w:val="0"/>
      <w:marTop w:val="0"/>
      <w:marBottom w:val="0"/>
      <w:divBdr>
        <w:top w:val="none" w:sz="0" w:space="0" w:color="auto"/>
        <w:left w:val="none" w:sz="0" w:space="0" w:color="auto"/>
        <w:bottom w:val="none" w:sz="0" w:space="0" w:color="auto"/>
        <w:right w:val="none" w:sz="0" w:space="0" w:color="auto"/>
      </w:divBdr>
      <w:divsChild>
        <w:div w:id="949121510">
          <w:blockQuote w:val="1"/>
          <w:marLeft w:val="600"/>
          <w:marRight w:val="600"/>
          <w:marTop w:val="360"/>
          <w:marBottom w:val="360"/>
          <w:divBdr>
            <w:top w:val="none" w:sz="0" w:space="0" w:color="auto"/>
            <w:left w:val="none" w:sz="0" w:space="0" w:color="auto"/>
            <w:bottom w:val="none" w:sz="0" w:space="0" w:color="auto"/>
            <w:right w:val="none" w:sz="0" w:space="0" w:color="auto"/>
          </w:divBdr>
        </w:div>
      </w:divsChild>
    </w:div>
    <w:div w:id="1047416502">
      <w:bodyDiv w:val="1"/>
      <w:marLeft w:val="0"/>
      <w:marRight w:val="0"/>
      <w:marTop w:val="0"/>
      <w:marBottom w:val="0"/>
      <w:divBdr>
        <w:top w:val="none" w:sz="0" w:space="0" w:color="auto"/>
        <w:left w:val="none" w:sz="0" w:space="0" w:color="auto"/>
        <w:bottom w:val="none" w:sz="0" w:space="0" w:color="auto"/>
        <w:right w:val="none" w:sz="0" w:space="0" w:color="auto"/>
      </w:divBdr>
    </w:div>
    <w:div w:id="1097359816">
      <w:bodyDiv w:val="1"/>
      <w:marLeft w:val="0"/>
      <w:marRight w:val="0"/>
      <w:marTop w:val="0"/>
      <w:marBottom w:val="0"/>
      <w:divBdr>
        <w:top w:val="none" w:sz="0" w:space="0" w:color="auto"/>
        <w:left w:val="none" w:sz="0" w:space="0" w:color="auto"/>
        <w:bottom w:val="none" w:sz="0" w:space="0" w:color="auto"/>
        <w:right w:val="none" w:sz="0" w:space="0" w:color="auto"/>
      </w:divBdr>
    </w:div>
    <w:div w:id="1097672333">
      <w:bodyDiv w:val="1"/>
      <w:marLeft w:val="0"/>
      <w:marRight w:val="0"/>
      <w:marTop w:val="0"/>
      <w:marBottom w:val="0"/>
      <w:divBdr>
        <w:top w:val="none" w:sz="0" w:space="0" w:color="auto"/>
        <w:left w:val="none" w:sz="0" w:space="0" w:color="auto"/>
        <w:bottom w:val="none" w:sz="0" w:space="0" w:color="auto"/>
        <w:right w:val="none" w:sz="0" w:space="0" w:color="auto"/>
      </w:divBdr>
      <w:divsChild>
        <w:div w:id="420102621">
          <w:marLeft w:val="0"/>
          <w:marRight w:val="0"/>
          <w:marTop w:val="60"/>
          <w:marBottom w:val="60"/>
          <w:divBdr>
            <w:top w:val="none" w:sz="0" w:space="0" w:color="auto"/>
            <w:left w:val="none" w:sz="0" w:space="0" w:color="auto"/>
            <w:bottom w:val="none" w:sz="0" w:space="0" w:color="auto"/>
            <w:right w:val="none" w:sz="0" w:space="0" w:color="auto"/>
          </w:divBdr>
        </w:div>
      </w:divsChild>
    </w:div>
    <w:div w:id="1144003245">
      <w:bodyDiv w:val="1"/>
      <w:marLeft w:val="0"/>
      <w:marRight w:val="0"/>
      <w:marTop w:val="0"/>
      <w:marBottom w:val="0"/>
      <w:divBdr>
        <w:top w:val="none" w:sz="0" w:space="0" w:color="auto"/>
        <w:left w:val="none" w:sz="0" w:space="0" w:color="auto"/>
        <w:bottom w:val="none" w:sz="0" w:space="0" w:color="auto"/>
        <w:right w:val="none" w:sz="0" w:space="0" w:color="auto"/>
      </w:divBdr>
    </w:div>
    <w:div w:id="1150707133">
      <w:bodyDiv w:val="1"/>
      <w:marLeft w:val="0"/>
      <w:marRight w:val="0"/>
      <w:marTop w:val="0"/>
      <w:marBottom w:val="0"/>
      <w:divBdr>
        <w:top w:val="none" w:sz="0" w:space="0" w:color="auto"/>
        <w:left w:val="none" w:sz="0" w:space="0" w:color="auto"/>
        <w:bottom w:val="none" w:sz="0" w:space="0" w:color="auto"/>
        <w:right w:val="none" w:sz="0" w:space="0" w:color="auto"/>
      </w:divBdr>
      <w:divsChild>
        <w:div w:id="1533105586">
          <w:marLeft w:val="0"/>
          <w:marRight w:val="0"/>
          <w:marTop w:val="0"/>
          <w:marBottom w:val="0"/>
          <w:divBdr>
            <w:top w:val="none" w:sz="0" w:space="0" w:color="auto"/>
            <w:left w:val="none" w:sz="0" w:space="0" w:color="auto"/>
            <w:bottom w:val="none" w:sz="0" w:space="0" w:color="auto"/>
            <w:right w:val="none" w:sz="0" w:space="0" w:color="auto"/>
          </w:divBdr>
          <w:divsChild>
            <w:div w:id="1488933322">
              <w:marLeft w:val="0"/>
              <w:marRight w:val="0"/>
              <w:marTop w:val="0"/>
              <w:marBottom w:val="0"/>
              <w:divBdr>
                <w:top w:val="none" w:sz="0" w:space="0" w:color="auto"/>
                <w:left w:val="none" w:sz="0" w:space="0" w:color="auto"/>
                <w:bottom w:val="none" w:sz="0" w:space="0" w:color="auto"/>
                <w:right w:val="none" w:sz="0" w:space="0" w:color="auto"/>
              </w:divBdr>
              <w:divsChild>
                <w:div w:id="1416126223">
                  <w:marLeft w:val="0"/>
                  <w:marRight w:val="0"/>
                  <w:marTop w:val="0"/>
                  <w:marBottom w:val="0"/>
                  <w:divBdr>
                    <w:top w:val="none" w:sz="0" w:space="0" w:color="auto"/>
                    <w:left w:val="none" w:sz="0" w:space="0" w:color="auto"/>
                    <w:bottom w:val="none" w:sz="0" w:space="0" w:color="auto"/>
                    <w:right w:val="none" w:sz="0" w:space="0" w:color="auto"/>
                  </w:divBdr>
                  <w:divsChild>
                    <w:div w:id="211625839">
                      <w:marLeft w:val="0"/>
                      <w:marRight w:val="0"/>
                      <w:marTop w:val="0"/>
                      <w:marBottom w:val="0"/>
                      <w:divBdr>
                        <w:top w:val="none" w:sz="0" w:space="0" w:color="auto"/>
                        <w:left w:val="none" w:sz="0" w:space="0" w:color="auto"/>
                        <w:bottom w:val="none" w:sz="0" w:space="0" w:color="auto"/>
                        <w:right w:val="none" w:sz="0" w:space="0" w:color="auto"/>
                      </w:divBdr>
                      <w:divsChild>
                        <w:div w:id="583302180">
                          <w:marLeft w:val="0"/>
                          <w:marRight w:val="0"/>
                          <w:marTop w:val="0"/>
                          <w:marBottom w:val="0"/>
                          <w:divBdr>
                            <w:top w:val="none" w:sz="0" w:space="0" w:color="auto"/>
                            <w:left w:val="none" w:sz="0" w:space="0" w:color="auto"/>
                            <w:bottom w:val="none" w:sz="0" w:space="0" w:color="auto"/>
                            <w:right w:val="none" w:sz="0" w:space="0" w:color="auto"/>
                          </w:divBdr>
                          <w:divsChild>
                            <w:div w:id="356125788">
                              <w:marLeft w:val="0"/>
                              <w:marRight w:val="0"/>
                              <w:marTop w:val="0"/>
                              <w:marBottom w:val="0"/>
                              <w:divBdr>
                                <w:top w:val="none" w:sz="0" w:space="0" w:color="auto"/>
                                <w:left w:val="none" w:sz="0" w:space="0" w:color="auto"/>
                                <w:bottom w:val="none" w:sz="0" w:space="0" w:color="auto"/>
                                <w:right w:val="none" w:sz="0" w:space="0" w:color="auto"/>
                              </w:divBdr>
                              <w:divsChild>
                                <w:div w:id="205340440">
                                  <w:marLeft w:val="0"/>
                                  <w:marRight w:val="0"/>
                                  <w:marTop w:val="0"/>
                                  <w:marBottom w:val="0"/>
                                  <w:divBdr>
                                    <w:top w:val="none" w:sz="0" w:space="0" w:color="auto"/>
                                    <w:left w:val="none" w:sz="0" w:space="0" w:color="auto"/>
                                    <w:bottom w:val="none" w:sz="0" w:space="0" w:color="auto"/>
                                    <w:right w:val="none" w:sz="0" w:space="0" w:color="auto"/>
                                  </w:divBdr>
                                  <w:divsChild>
                                    <w:div w:id="384911429">
                                      <w:marLeft w:val="0"/>
                                      <w:marRight w:val="0"/>
                                      <w:marTop w:val="0"/>
                                      <w:marBottom w:val="0"/>
                                      <w:divBdr>
                                        <w:top w:val="none" w:sz="0" w:space="0" w:color="auto"/>
                                        <w:left w:val="none" w:sz="0" w:space="0" w:color="auto"/>
                                        <w:bottom w:val="none" w:sz="0" w:space="0" w:color="auto"/>
                                        <w:right w:val="none" w:sz="0" w:space="0" w:color="auto"/>
                                      </w:divBdr>
                                      <w:divsChild>
                                        <w:div w:id="125057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0162901">
          <w:marLeft w:val="0"/>
          <w:marRight w:val="0"/>
          <w:marTop w:val="0"/>
          <w:marBottom w:val="0"/>
          <w:divBdr>
            <w:top w:val="none" w:sz="0" w:space="0" w:color="auto"/>
            <w:left w:val="none" w:sz="0" w:space="0" w:color="auto"/>
            <w:bottom w:val="none" w:sz="0" w:space="0" w:color="auto"/>
            <w:right w:val="none" w:sz="0" w:space="0" w:color="auto"/>
          </w:divBdr>
          <w:divsChild>
            <w:div w:id="650864694">
              <w:marLeft w:val="0"/>
              <w:marRight w:val="0"/>
              <w:marTop w:val="0"/>
              <w:marBottom w:val="0"/>
              <w:divBdr>
                <w:top w:val="none" w:sz="0" w:space="0" w:color="auto"/>
                <w:left w:val="none" w:sz="0" w:space="0" w:color="auto"/>
                <w:bottom w:val="none" w:sz="0" w:space="0" w:color="auto"/>
                <w:right w:val="none" w:sz="0" w:space="0" w:color="auto"/>
              </w:divBdr>
              <w:divsChild>
                <w:div w:id="1341545132">
                  <w:marLeft w:val="0"/>
                  <w:marRight w:val="0"/>
                  <w:marTop w:val="0"/>
                  <w:marBottom w:val="0"/>
                  <w:divBdr>
                    <w:top w:val="none" w:sz="0" w:space="0" w:color="auto"/>
                    <w:left w:val="none" w:sz="0" w:space="0" w:color="auto"/>
                    <w:bottom w:val="none" w:sz="0" w:space="0" w:color="auto"/>
                    <w:right w:val="none" w:sz="0" w:space="0" w:color="auto"/>
                  </w:divBdr>
                  <w:divsChild>
                    <w:div w:id="1203707544">
                      <w:marLeft w:val="0"/>
                      <w:marRight w:val="0"/>
                      <w:marTop w:val="0"/>
                      <w:marBottom w:val="0"/>
                      <w:divBdr>
                        <w:top w:val="none" w:sz="0" w:space="0" w:color="auto"/>
                        <w:left w:val="none" w:sz="0" w:space="0" w:color="auto"/>
                        <w:bottom w:val="none" w:sz="0" w:space="0" w:color="auto"/>
                        <w:right w:val="none" w:sz="0" w:space="0" w:color="auto"/>
                      </w:divBdr>
                      <w:divsChild>
                        <w:div w:id="646974333">
                          <w:marLeft w:val="0"/>
                          <w:marRight w:val="0"/>
                          <w:marTop w:val="0"/>
                          <w:marBottom w:val="0"/>
                          <w:divBdr>
                            <w:top w:val="none" w:sz="0" w:space="0" w:color="auto"/>
                            <w:left w:val="none" w:sz="0" w:space="0" w:color="auto"/>
                            <w:bottom w:val="none" w:sz="0" w:space="0" w:color="auto"/>
                            <w:right w:val="none" w:sz="0" w:space="0" w:color="auto"/>
                          </w:divBdr>
                          <w:divsChild>
                            <w:div w:id="1478494373">
                              <w:marLeft w:val="0"/>
                              <w:marRight w:val="0"/>
                              <w:marTop w:val="0"/>
                              <w:marBottom w:val="0"/>
                              <w:divBdr>
                                <w:top w:val="none" w:sz="0" w:space="0" w:color="auto"/>
                                <w:left w:val="none" w:sz="0" w:space="0" w:color="auto"/>
                                <w:bottom w:val="none" w:sz="0" w:space="0" w:color="auto"/>
                                <w:right w:val="none" w:sz="0" w:space="0" w:color="auto"/>
                              </w:divBdr>
                              <w:divsChild>
                                <w:div w:id="808977167">
                                  <w:marLeft w:val="0"/>
                                  <w:marRight w:val="0"/>
                                  <w:marTop w:val="0"/>
                                  <w:marBottom w:val="0"/>
                                  <w:divBdr>
                                    <w:top w:val="none" w:sz="0" w:space="0" w:color="auto"/>
                                    <w:left w:val="none" w:sz="0" w:space="0" w:color="auto"/>
                                    <w:bottom w:val="none" w:sz="0" w:space="0" w:color="auto"/>
                                    <w:right w:val="none" w:sz="0" w:space="0" w:color="auto"/>
                                  </w:divBdr>
                                  <w:divsChild>
                                    <w:div w:id="109270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5292605">
      <w:bodyDiv w:val="1"/>
      <w:marLeft w:val="0"/>
      <w:marRight w:val="0"/>
      <w:marTop w:val="0"/>
      <w:marBottom w:val="0"/>
      <w:divBdr>
        <w:top w:val="none" w:sz="0" w:space="0" w:color="auto"/>
        <w:left w:val="none" w:sz="0" w:space="0" w:color="auto"/>
        <w:bottom w:val="none" w:sz="0" w:space="0" w:color="auto"/>
        <w:right w:val="none" w:sz="0" w:space="0" w:color="auto"/>
      </w:divBdr>
    </w:div>
    <w:div w:id="1206286235">
      <w:bodyDiv w:val="1"/>
      <w:marLeft w:val="0"/>
      <w:marRight w:val="0"/>
      <w:marTop w:val="0"/>
      <w:marBottom w:val="0"/>
      <w:divBdr>
        <w:top w:val="none" w:sz="0" w:space="0" w:color="auto"/>
        <w:left w:val="none" w:sz="0" w:space="0" w:color="auto"/>
        <w:bottom w:val="none" w:sz="0" w:space="0" w:color="auto"/>
        <w:right w:val="none" w:sz="0" w:space="0" w:color="auto"/>
      </w:divBdr>
    </w:div>
    <w:div w:id="1214848141">
      <w:bodyDiv w:val="1"/>
      <w:marLeft w:val="0"/>
      <w:marRight w:val="0"/>
      <w:marTop w:val="0"/>
      <w:marBottom w:val="0"/>
      <w:divBdr>
        <w:top w:val="none" w:sz="0" w:space="0" w:color="auto"/>
        <w:left w:val="none" w:sz="0" w:space="0" w:color="auto"/>
        <w:bottom w:val="none" w:sz="0" w:space="0" w:color="auto"/>
        <w:right w:val="none" w:sz="0" w:space="0" w:color="auto"/>
      </w:divBdr>
    </w:div>
    <w:div w:id="1215966190">
      <w:bodyDiv w:val="1"/>
      <w:marLeft w:val="0"/>
      <w:marRight w:val="0"/>
      <w:marTop w:val="0"/>
      <w:marBottom w:val="0"/>
      <w:divBdr>
        <w:top w:val="none" w:sz="0" w:space="0" w:color="auto"/>
        <w:left w:val="none" w:sz="0" w:space="0" w:color="auto"/>
        <w:bottom w:val="none" w:sz="0" w:space="0" w:color="auto"/>
        <w:right w:val="none" w:sz="0" w:space="0" w:color="auto"/>
      </w:divBdr>
      <w:divsChild>
        <w:div w:id="1443374556">
          <w:marLeft w:val="0"/>
          <w:marRight w:val="0"/>
          <w:marTop w:val="0"/>
          <w:marBottom w:val="0"/>
          <w:divBdr>
            <w:top w:val="none" w:sz="0" w:space="0" w:color="auto"/>
            <w:left w:val="none" w:sz="0" w:space="0" w:color="auto"/>
            <w:bottom w:val="none" w:sz="0" w:space="0" w:color="auto"/>
            <w:right w:val="none" w:sz="0" w:space="0" w:color="auto"/>
          </w:divBdr>
          <w:divsChild>
            <w:div w:id="200628312">
              <w:marLeft w:val="0"/>
              <w:marRight w:val="0"/>
              <w:marTop w:val="0"/>
              <w:marBottom w:val="0"/>
              <w:divBdr>
                <w:top w:val="none" w:sz="0" w:space="0" w:color="auto"/>
                <w:left w:val="none" w:sz="0" w:space="0" w:color="auto"/>
                <w:bottom w:val="none" w:sz="0" w:space="0" w:color="auto"/>
                <w:right w:val="none" w:sz="0" w:space="0" w:color="auto"/>
              </w:divBdr>
              <w:divsChild>
                <w:div w:id="1016880482">
                  <w:marLeft w:val="0"/>
                  <w:marRight w:val="0"/>
                  <w:marTop w:val="0"/>
                  <w:marBottom w:val="0"/>
                  <w:divBdr>
                    <w:top w:val="none" w:sz="0" w:space="0" w:color="auto"/>
                    <w:left w:val="none" w:sz="0" w:space="0" w:color="auto"/>
                    <w:bottom w:val="none" w:sz="0" w:space="0" w:color="auto"/>
                    <w:right w:val="none" w:sz="0" w:space="0" w:color="auto"/>
                  </w:divBdr>
                  <w:divsChild>
                    <w:div w:id="158931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779929">
          <w:marLeft w:val="0"/>
          <w:marRight w:val="0"/>
          <w:marTop w:val="0"/>
          <w:marBottom w:val="0"/>
          <w:divBdr>
            <w:top w:val="none" w:sz="0" w:space="0" w:color="auto"/>
            <w:left w:val="none" w:sz="0" w:space="0" w:color="auto"/>
            <w:bottom w:val="none" w:sz="0" w:space="0" w:color="auto"/>
            <w:right w:val="none" w:sz="0" w:space="0" w:color="auto"/>
          </w:divBdr>
          <w:divsChild>
            <w:div w:id="207141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256191">
      <w:bodyDiv w:val="1"/>
      <w:marLeft w:val="0"/>
      <w:marRight w:val="0"/>
      <w:marTop w:val="0"/>
      <w:marBottom w:val="0"/>
      <w:divBdr>
        <w:top w:val="none" w:sz="0" w:space="0" w:color="auto"/>
        <w:left w:val="none" w:sz="0" w:space="0" w:color="auto"/>
        <w:bottom w:val="none" w:sz="0" w:space="0" w:color="auto"/>
        <w:right w:val="none" w:sz="0" w:space="0" w:color="auto"/>
      </w:divBdr>
    </w:div>
    <w:div w:id="1241865480">
      <w:bodyDiv w:val="1"/>
      <w:marLeft w:val="0"/>
      <w:marRight w:val="0"/>
      <w:marTop w:val="0"/>
      <w:marBottom w:val="0"/>
      <w:divBdr>
        <w:top w:val="none" w:sz="0" w:space="0" w:color="auto"/>
        <w:left w:val="none" w:sz="0" w:space="0" w:color="auto"/>
        <w:bottom w:val="none" w:sz="0" w:space="0" w:color="auto"/>
        <w:right w:val="none" w:sz="0" w:space="0" w:color="auto"/>
      </w:divBdr>
      <w:divsChild>
        <w:div w:id="1324313423">
          <w:marLeft w:val="0"/>
          <w:marRight w:val="0"/>
          <w:marTop w:val="0"/>
          <w:marBottom w:val="0"/>
          <w:divBdr>
            <w:top w:val="none" w:sz="0" w:space="0" w:color="auto"/>
            <w:left w:val="none" w:sz="0" w:space="0" w:color="auto"/>
            <w:bottom w:val="none" w:sz="0" w:space="0" w:color="auto"/>
            <w:right w:val="none" w:sz="0" w:space="0" w:color="auto"/>
          </w:divBdr>
        </w:div>
        <w:div w:id="1611013230">
          <w:marLeft w:val="0"/>
          <w:marRight w:val="0"/>
          <w:marTop w:val="0"/>
          <w:marBottom w:val="0"/>
          <w:divBdr>
            <w:top w:val="none" w:sz="0" w:space="0" w:color="auto"/>
            <w:left w:val="none" w:sz="0" w:space="0" w:color="auto"/>
            <w:bottom w:val="none" w:sz="0" w:space="0" w:color="auto"/>
            <w:right w:val="none" w:sz="0" w:space="0" w:color="auto"/>
          </w:divBdr>
        </w:div>
      </w:divsChild>
    </w:div>
    <w:div w:id="1284774680">
      <w:bodyDiv w:val="1"/>
      <w:marLeft w:val="0"/>
      <w:marRight w:val="0"/>
      <w:marTop w:val="0"/>
      <w:marBottom w:val="0"/>
      <w:divBdr>
        <w:top w:val="none" w:sz="0" w:space="0" w:color="auto"/>
        <w:left w:val="none" w:sz="0" w:space="0" w:color="auto"/>
        <w:bottom w:val="none" w:sz="0" w:space="0" w:color="auto"/>
        <w:right w:val="none" w:sz="0" w:space="0" w:color="auto"/>
      </w:divBdr>
    </w:div>
    <w:div w:id="1330910437">
      <w:bodyDiv w:val="1"/>
      <w:marLeft w:val="0"/>
      <w:marRight w:val="0"/>
      <w:marTop w:val="0"/>
      <w:marBottom w:val="0"/>
      <w:divBdr>
        <w:top w:val="none" w:sz="0" w:space="0" w:color="auto"/>
        <w:left w:val="none" w:sz="0" w:space="0" w:color="auto"/>
        <w:bottom w:val="none" w:sz="0" w:space="0" w:color="auto"/>
        <w:right w:val="none" w:sz="0" w:space="0" w:color="auto"/>
      </w:divBdr>
      <w:divsChild>
        <w:div w:id="640696233">
          <w:marLeft w:val="0"/>
          <w:marRight w:val="0"/>
          <w:marTop w:val="0"/>
          <w:marBottom w:val="0"/>
          <w:divBdr>
            <w:top w:val="none" w:sz="0" w:space="0" w:color="auto"/>
            <w:left w:val="none" w:sz="0" w:space="0" w:color="auto"/>
            <w:bottom w:val="none" w:sz="0" w:space="0" w:color="auto"/>
            <w:right w:val="none" w:sz="0" w:space="0" w:color="auto"/>
          </w:divBdr>
          <w:divsChild>
            <w:div w:id="1173377966">
              <w:marLeft w:val="0"/>
              <w:marRight w:val="0"/>
              <w:marTop w:val="0"/>
              <w:marBottom w:val="0"/>
              <w:divBdr>
                <w:top w:val="none" w:sz="0" w:space="0" w:color="auto"/>
                <w:left w:val="none" w:sz="0" w:space="0" w:color="auto"/>
                <w:bottom w:val="none" w:sz="0" w:space="0" w:color="auto"/>
                <w:right w:val="none" w:sz="0" w:space="0" w:color="auto"/>
              </w:divBdr>
              <w:divsChild>
                <w:div w:id="524250098">
                  <w:marLeft w:val="0"/>
                  <w:marRight w:val="0"/>
                  <w:marTop w:val="0"/>
                  <w:marBottom w:val="0"/>
                  <w:divBdr>
                    <w:top w:val="none" w:sz="0" w:space="0" w:color="auto"/>
                    <w:left w:val="none" w:sz="0" w:space="0" w:color="auto"/>
                    <w:bottom w:val="none" w:sz="0" w:space="0" w:color="auto"/>
                    <w:right w:val="none" w:sz="0" w:space="0" w:color="auto"/>
                  </w:divBdr>
                  <w:divsChild>
                    <w:div w:id="958685725">
                      <w:marLeft w:val="0"/>
                      <w:marRight w:val="0"/>
                      <w:marTop w:val="0"/>
                      <w:marBottom w:val="0"/>
                      <w:divBdr>
                        <w:top w:val="none" w:sz="0" w:space="0" w:color="auto"/>
                        <w:left w:val="none" w:sz="0" w:space="0" w:color="auto"/>
                        <w:bottom w:val="none" w:sz="0" w:space="0" w:color="auto"/>
                        <w:right w:val="none" w:sz="0" w:space="0" w:color="auto"/>
                      </w:divBdr>
                      <w:divsChild>
                        <w:div w:id="140217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399868">
              <w:marLeft w:val="0"/>
              <w:marRight w:val="0"/>
              <w:marTop w:val="0"/>
              <w:marBottom w:val="0"/>
              <w:divBdr>
                <w:top w:val="none" w:sz="0" w:space="0" w:color="auto"/>
                <w:left w:val="none" w:sz="0" w:space="0" w:color="auto"/>
                <w:bottom w:val="none" w:sz="0" w:space="0" w:color="auto"/>
                <w:right w:val="none" w:sz="0" w:space="0" w:color="auto"/>
              </w:divBdr>
              <w:divsChild>
                <w:div w:id="178561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365946">
          <w:marLeft w:val="0"/>
          <w:marRight w:val="0"/>
          <w:marTop w:val="0"/>
          <w:marBottom w:val="0"/>
          <w:divBdr>
            <w:top w:val="none" w:sz="0" w:space="0" w:color="auto"/>
            <w:left w:val="none" w:sz="0" w:space="0" w:color="auto"/>
            <w:bottom w:val="none" w:sz="0" w:space="0" w:color="auto"/>
            <w:right w:val="none" w:sz="0" w:space="0" w:color="auto"/>
          </w:divBdr>
          <w:divsChild>
            <w:div w:id="758209080">
              <w:marLeft w:val="0"/>
              <w:marRight w:val="0"/>
              <w:marTop w:val="0"/>
              <w:marBottom w:val="0"/>
              <w:divBdr>
                <w:top w:val="none" w:sz="0" w:space="0" w:color="auto"/>
                <w:left w:val="none" w:sz="0" w:space="0" w:color="auto"/>
                <w:bottom w:val="none" w:sz="0" w:space="0" w:color="auto"/>
                <w:right w:val="none" w:sz="0" w:space="0" w:color="auto"/>
              </w:divBdr>
              <w:divsChild>
                <w:div w:id="542517966">
                  <w:marLeft w:val="0"/>
                  <w:marRight w:val="0"/>
                  <w:marTop w:val="0"/>
                  <w:marBottom w:val="0"/>
                  <w:divBdr>
                    <w:top w:val="none" w:sz="0" w:space="0" w:color="auto"/>
                    <w:left w:val="none" w:sz="0" w:space="0" w:color="auto"/>
                    <w:bottom w:val="none" w:sz="0" w:space="0" w:color="auto"/>
                    <w:right w:val="none" w:sz="0" w:space="0" w:color="auto"/>
                  </w:divBdr>
                  <w:divsChild>
                    <w:div w:id="820778190">
                      <w:marLeft w:val="0"/>
                      <w:marRight w:val="0"/>
                      <w:marTop w:val="0"/>
                      <w:marBottom w:val="0"/>
                      <w:divBdr>
                        <w:top w:val="none" w:sz="0" w:space="0" w:color="auto"/>
                        <w:left w:val="none" w:sz="0" w:space="0" w:color="auto"/>
                        <w:bottom w:val="none" w:sz="0" w:space="0" w:color="auto"/>
                        <w:right w:val="none" w:sz="0" w:space="0" w:color="auto"/>
                      </w:divBdr>
                      <w:divsChild>
                        <w:div w:id="768698987">
                          <w:marLeft w:val="0"/>
                          <w:marRight w:val="0"/>
                          <w:marTop w:val="0"/>
                          <w:marBottom w:val="0"/>
                          <w:divBdr>
                            <w:top w:val="none" w:sz="0" w:space="0" w:color="auto"/>
                            <w:left w:val="none" w:sz="0" w:space="0" w:color="auto"/>
                            <w:bottom w:val="none" w:sz="0" w:space="0" w:color="auto"/>
                            <w:right w:val="none" w:sz="0" w:space="0" w:color="auto"/>
                          </w:divBdr>
                          <w:divsChild>
                            <w:div w:id="126831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712848">
                  <w:marLeft w:val="0"/>
                  <w:marRight w:val="0"/>
                  <w:marTop w:val="0"/>
                  <w:marBottom w:val="0"/>
                  <w:divBdr>
                    <w:top w:val="none" w:sz="0" w:space="0" w:color="auto"/>
                    <w:left w:val="none" w:sz="0" w:space="0" w:color="auto"/>
                    <w:bottom w:val="none" w:sz="0" w:space="0" w:color="auto"/>
                    <w:right w:val="none" w:sz="0" w:space="0" w:color="auto"/>
                  </w:divBdr>
                  <w:divsChild>
                    <w:div w:id="44901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053156">
      <w:bodyDiv w:val="1"/>
      <w:marLeft w:val="0"/>
      <w:marRight w:val="0"/>
      <w:marTop w:val="0"/>
      <w:marBottom w:val="0"/>
      <w:divBdr>
        <w:top w:val="none" w:sz="0" w:space="0" w:color="auto"/>
        <w:left w:val="none" w:sz="0" w:space="0" w:color="auto"/>
        <w:bottom w:val="none" w:sz="0" w:space="0" w:color="auto"/>
        <w:right w:val="none" w:sz="0" w:space="0" w:color="auto"/>
      </w:divBdr>
    </w:div>
    <w:div w:id="1371032534">
      <w:bodyDiv w:val="1"/>
      <w:marLeft w:val="0"/>
      <w:marRight w:val="0"/>
      <w:marTop w:val="0"/>
      <w:marBottom w:val="0"/>
      <w:divBdr>
        <w:top w:val="none" w:sz="0" w:space="0" w:color="auto"/>
        <w:left w:val="none" w:sz="0" w:space="0" w:color="auto"/>
        <w:bottom w:val="none" w:sz="0" w:space="0" w:color="auto"/>
        <w:right w:val="none" w:sz="0" w:space="0" w:color="auto"/>
      </w:divBdr>
      <w:divsChild>
        <w:div w:id="2060937441">
          <w:marLeft w:val="0"/>
          <w:marRight w:val="0"/>
          <w:marTop w:val="0"/>
          <w:marBottom w:val="0"/>
          <w:divBdr>
            <w:top w:val="none" w:sz="0" w:space="0" w:color="auto"/>
            <w:left w:val="none" w:sz="0" w:space="0" w:color="auto"/>
            <w:bottom w:val="none" w:sz="0" w:space="0" w:color="auto"/>
            <w:right w:val="none" w:sz="0" w:space="0" w:color="auto"/>
          </w:divBdr>
          <w:divsChild>
            <w:div w:id="668145065">
              <w:marLeft w:val="0"/>
              <w:marRight w:val="0"/>
              <w:marTop w:val="0"/>
              <w:marBottom w:val="0"/>
              <w:divBdr>
                <w:top w:val="none" w:sz="0" w:space="0" w:color="auto"/>
                <w:left w:val="none" w:sz="0" w:space="0" w:color="auto"/>
                <w:bottom w:val="none" w:sz="0" w:space="0" w:color="auto"/>
                <w:right w:val="none" w:sz="0" w:space="0" w:color="auto"/>
              </w:divBdr>
              <w:divsChild>
                <w:div w:id="1992172484">
                  <w:marLeft w:val="0"/>
                  <w:marRight w:val="0"/>
                  <w:marTop w:val="0"/>
                  <w:marBottom w:val="0"/>
                  <w:divBdr>
                    <w:top w:val="none" w:sz="0" w:space="0" w:color="auto"/>
                    <w:left w:val="none" w:sz="0" w:space="0" w:color="auto"/>
                    <w:bottom w:val="none" w:sz="0" w:space="0" w:color="auto"/>
                    <w:right w:val="none" w:sz="0" w:space="0" w:color="auto"/>
                  </w:divBdr>
                  <w:divsChild>
                    <w:div w:id="1226840526">
                      <w:marLeft w:val="0"/>
                      <w:marRight w:val="0"/>
                      <w:marTop w:val="0"/>
                      <w:marBottom w:val="0"/>
                      <w:divBdr>
                        <w:top w:val="none" w:sz="0" w:space="0" w:color="auto"/>
                        <w:left w:val="none" w:sz="0" w:space="0" w:color="auto"/>
                        <w:bottom w:val="none" w:sz="0" w:space="0" w:color="auto"/>
                        <w:right w:val="none" w:sz="0" w:space="0" w:color="auto"/>
                      </w:divBdr>
                      <w:divsChild>
                        <w:div w:id="2056196713">
                          <w:marLeft w:val="0"/>
                          <w:marRight w:val="0"/>
                          <w:marTop w:val="0"/>
                          <w:marBottom w:val="0"/>
                          <w:divBdr>
                            <w:top w:val="none" w:sz="0" w:space="0" w:color="auto"/>
                            <w:left w:val="none" w:sz="0" w:space="0" w:color="auto"/>
                            <w:bottom w:val="none" w:sz="0" w:space="0" w:color="auto"/>
                            <w:right w:val="none" w:sz="0" w:space="0" w:color="auto"/>
                          </w:divBdr>
                          <w:divsChild>
                            <w:div w:id="373821434">
                              <w:marLeft w:val="0"/>
                              <w:marRight w:val="0"/>
                              <w:marTop w:val="0"/>
                              <w:marBottom w:val="0"/>
                              <w:divBdr>
                                <w:top w:val="none" w:sz="0" w:space="0" w:color="auto"/>
                                <w:left w:val="none" w:sz="0" w:space="0" w:color="auto"/>
                                <w:bottom w:val="none" w:sz="0" w:space="0" w:color="auto"/>
                                <w:right w:val="none" w:sz="0" w:space="0" w:color="auto"/>
                              </w:divBdr>
                              <w:divsChild>
                                <w:div w:id="513036117">
                                  <w:marLeft w:val="0"/>
                                  <w:marRight w:val="0"/>
                                  <w:marTop w:val="0"/>
                                  <w:marBottom w:val="0"/>
                                  <w:divBdr>
                                    <w:top w:val="none" w:sz="0" w:space="0" w:color="auto"/>
                                    <w:left w:val="none" w:sz="0" w:space="0" w:color="auto"/>
                                    <w:bottom w:val="none" w:sz="0" w:space="0" w:color="auto"/>
                                    <w:right w:val="none" w:sz="0" w:space="0" w:color="auto"/>
                                  </w:divBdr>
                                  <w:divsChild>
                                    <w:div w:id="377436348">
                                      <w:marLeft w:val="0"/>
                                      <w:marRight w:val="0"/>
                                      <w:marTop w:val="0"/>
                                      <w:marBottom w:val="0"/>
                                      <w:divBdr>
                                        <w:top w:val="none" w:sz="0" w:space="0" w:color="auto"/>
                                        <w:left w:val="none" w:sz="0" w:space="0" w:color="auto"/>
                                        <w:bottom w:val="none" w:sz="0" w:space="0" w:color="auto"/>
                                        <w:right w:val="none" w:sz="0" w:space="0" w:color="auto"/>
                                      </w:divBdr>
                                      <w:divsChild>
                                        <w:div w:id="45738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2821273">
          <w:marLeft w:val="0"/>
          <w:marRight w:val="0"/>
          <w:marTop w:val="0"/>
          <w:marBottom w:val="0"/>
          <w:divBdr>
            <w:top w:val="none" w:sz="0" w:space="0" w:color="auto"/>
            <w:left w:val="none" w:sz="0" w:space="0" w:color="auto"/>
            <w:bottom w:val="none" w:sz="0" w:space="0" w:color="auto"/>
            <w:right w:val="none" w:sz="0" w:space="0" w:color="auto"/>
          </w:divBdr>
          <w:divsChild>
            <w:div w:id="920598169">
              <w:marLeft w:val="0"/>
              <w:marRight w:val="0"/>
              <w:marTop w:val="0"/>
              <w:marBottom w:val="0"/>
              <w:divBdr>
                <w:top w:val="none" w:sz="0" w:space="0" w:color="auto"/>
                <w:left w:val="none" w:sz="0" w:space="0" w:color="auto"/>
                <w:bottom w:val="none" w:sz="0" w:space="0" w:color="auto"/>
                <w:right w:val="none" w:sz="0" w:space="0" w:color="auto"/>
              </w:divBdr>
              <w:divsChild>
                <w:div w:id="1271471721">
                  <w:marLeft w:val="0"/>
                  <w:marRight w:val="0"/>
                  <w:marTop w:val="0"/>
                  <w:marBottom w:val="0"/>
                  <w:divBdr>
                    <w:top w:val="none" w:sz="0" w:space="0" w:color="auto"/>
                    <w:left w:val="none" w:sz="0" w:space="0" w:color="auto"/>
                    <w:bottom w:val="none" w:sz="0" w:space="0" w:color="auto"/>
                    <w:right w:val="none" w:sz="0" w:space="0" w:color="auto"/>
                  </w:divBdr>
                  <w:divsChild>
                    <w:div w:id="948849771">
                      <w:marLeft w:val="0"/>
                      <w:marRight w:val="0"/>
                      <w:marTop w:val="0"/>
                      <w:marBottom w:val="0"/>
                      <w:divBdr>
                        <w:top w:val="none" w:sz="0" w:space="0" w:color="auto"/>
                        <w:left w:val="none" w:sz="0" w:space="0" w:color="auto"/>
                        <w:bottom w:val="none" w:sz="0" w:space="0" w:color="auto"/>
                        <w:right w:val="none" w:sz="0" w:space="0" w:color="auto"/>
                      </w:divBdr>
                      <w:divsChild>
                        <w:div w:id="936057459">
                          <w:marLeft w:val="0"/>
                          <w:marRight w:val="0"/>
                          <w:marTop w:val="0"/>
                          <w:marBottom w:val="0"/>
                          <w:divBdr>
                            <w:top w:val="none" w:sz="0" w:space="0" w:color="auto"/>
                            <w:left w:val="none" w:sz="0" w:space="0" w:color="auto"/>
                            <w:bottom w:val="none" w:sz="0" w:space="0" w:color="auto"/>
                            <w:right w:val="none" w:sz="0" w:space="0" w:color="auto"/>
                          </w:divBdr>
                          <w:divsChild>
                            <w:div w:id="1271939441">
                              <w:marLeft w:val="0"/>
                              <w:marRight w:val="0"/>
                              <w:marTop w:val="0"/>
                              <w:marBottom w:val="0"/>
                              <w:divBdr>
                                <w:top w:val="none" w:sz="0" w:space="0" w:color="auto"/>
                                <w:left w:val="none" w:sz="0" w:space="0" w:color="auto"/>
                                <w:bottom w:val="none" w:sz="0" w:space="0" w:color="auto"/>
                                <w:right w:val="none" w:sz="0" w:space="0" w:color="auto"/>
                              </w:divBdr>
                              <w:divsChild>
                                <w:div w:id="126169023">
                                  <w:marLeft w:val="0"/>
                                  <w:marRight w:val="0"/>
                                  <w:marTop w:val="0"/>
                                  <w:marBottom w:val="0"/>
                                  <w:divBdr>
                                    <w:top w:val="none" w:sz="0" w:space="0" w:color="auto"/>
                                    <w:left w:val="none" w:sz="0" w:space="0" w:color="auto"/>
                                    <w:bottom w:val="none" w:sz="0" w:space="0" w:color="auto"/>
                                    <w:right w:val="none" w:sz="0" w:space="0" w:color="auto"/>
                                  </w:divBdr>
                                  <w:divsChild>
                                    <w:div w:id="733359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3935550">
      <w:bodyDiv w:val="1"/>
      <w:marLeft w:val="0"/>
      <w:marRight w:val="0"/>
      <w:marTop w:val="0"/>
      <w:marBottom w:val="0"/>
      <w:divBdr>
        <w:top w:val="none" w:sz="0" w:space="0" w:color="auto"/>
        <w:left w:val="none" w:sz="0" w:space="0" w:color="auto"/>
        <w:bottom w:val="none" w:sz="0" w:space="0" w:color="auto"/>
        <w:right w:val="none" w:sz="0" w:space="0" w:color="auto"/>
      </w:divBdr>
      <w:divsChild>
        <w:div w:id="1469668379">
          <w:marLeft w:val="0"/>
          <w:marRight w:val="0"/>
          <w:marTop w:val="0"/>
          <w:marBottom w:val="0"/>
          <w:divBdr>
            <w:top w:val="none" w:sz="0" w:space="0" w:color="auto"/>
            <w:left w:val="none" w:sz="0" w:space="0" w:color="auto"/>
            <w:bottom w:val="none" w:sz="0" w:space="0" w:color="auto"/>
            <w:right w:val="none" w:sz="0" w:space="0" w:color="auto"/>
          </w:divBdr>
          <w:divsChild>
            <w:div w:id="1538934141">
              <w:marLeft w:val="0"/>
              <w:marRight w:val="0"/>
              <w:marTop w:val="0"/>
              <w:marBottom w:val="0"/>
              <w:divBdr>
                <w:top w:val="none" w:sz="0" w:space="0" w:color="auto"/>
                <w:left w:val="none" w:sz="0" w:space="0" w:color="auto"/>
                <w:bottom w:val="none" w:sz="0" w:space="0" w:color="auto"/>
                <w:right w:val="none" w:sz="0" w:space="0" w:color="auto"/>
              </w:divBdr>
              <w:divsChild>
                <w:div w:id="203831359">
                  <w:marLeft w:val="0"/>
                  <w:marRight w:val="0"/>
                  <w:marTop w:val="0"/>
                  <w:marBottom w:val="0"/>
                  <w:divBdr>
                    <w:top w:val="none" w:sz="0" w:space="0" w:color="auto"/>
                    <w:left w:val="none" w:sz="0" w:space="0" w:color="auto"/>
                    <w:bottom w:val="none" w:sz="0" w:space="0" w:color="auto"/>
                    <w:right w:val="none" w:sz="0" w:space="0" w:color="auto"/>
                  </w:divBdr>
                  <w:divsChild>
                    <w:div w:id="605388646">
                      <w:marLeft w:val="0"/>
                      <w:marRight w:val="0"/>
                      <w:marTop w:val="0"/>
                      <w:marBottom w:val="0"/>
                      <w:divBdr>
                        <w:top w:val="none" w:sz="0" w:space="0" w:color="auto"/>
                        <w:left w:val="none" w:sz="0" w:space="0" w:color="auto"/>
                        <w:bottom w:val="none" w:sz="0" w:space="0" w:color="auto"/>
                        <w:right w:val="none" w:sz="0" w:space="0" w:color="auto"/>
                      </w:divBdr>
                      <w:divsChild>
                        <w:div w:id="1312250306">
                          <w:marLeft w:val="0"/>
                          <w:marRight w:val="0"/>
                          <w:marTop w:val="0"/>
                          <w:marBottom w:val="0"/>
                          <w:divBdr>
                            <w:top w:val="none" w:sz="0" w:space="0" w:color="auto"/>
                            <w:left w:val="none" w:sz="0" w:space="0" w:color="auto"/>
                            <w:bottom w:val="none" w:sz="0" w:space="0" w:color="auto"/>
                            <w:right w:val="none" w:sz="0" w:space="0" w:color="auto"/>
                          </w:divBdr>
                          <w:divsChild>
                            <w:div w:id="1440876446">
                              <w:marLeft w:val="0"/>
                              <w:marRight w:val="0"/>
                              <w:marTop w:val="0"/>
                              <w:marBottom w:val="0"/>
                              <w:divBdr>
                                <w:top w:val="none" w:sz="0" w:space="0" w:color="auto"/>
                                <w:left w:val="none" w:sz="0" w:space="0" w:color="auto"/>
                                <w:bottom w:val="none" w:sz="0" w:space="0" w:color="auto"/>
                                <w:right w:val="none" w:sz="0" w:space="0" w:color="auto"/>
                              </w:divBdr>
                              <w:divsChild>
                                <w:div w:id="1822693987">
                                  <w:marLeft w:val="0"/>
                                  <w:marRight w:val="0"/>
                                  <w:marTop w:val="0"/>
                                  <w:marBottom w:val="0"/>
                                  <w:divBdr>
                                    <w:top w:val="none" w:sz="0" w:space="0" w:color="auto"/>
                                    <w:left w:val="none" w:sz="0" w:space="0" w:color="auto"/>
                                    <w:bottom w:val="none" w:sz="0" w:space="0" w:color="auto"/>
                                    <w:right w:val="none" w:sz="0" w:space="0" w:color="auto"/>
                                  </w:divBdr>
                                  <w:divsChild>
                                    <w:div w:id="1171946250">
                                      <w:marLeft w:val="0"/>
                                      <w:marRight w:val="0"/>
                                      <w:marTop w:val="0"/>
                                      <w:marBottom w:val="0"/>
                                      <w:divBdr>
                                        <w:top w:val="none" w:sz="0" w:space="0" w:color="auto"/>
                                        <w:left w:val="none" w:sz="0" w:space="0" w:color="auto"/>
                                        <w:bottom w:val="none" w:sz="0" w:space="0" w:color="auto"/>
                                        <w:right w:val="none" w:sz="0" w:space="0" w:color="auto"/>
                                      </w:divBdr>
                                      <w:divsChild>
                                        <w:div w:id="2028630703">
                                          <w:marLeft w:val="0"/>
                                          <w:marRight w:val="0"/>
                                          <w:marTop w:val="0"/>
                                          <w:marBottom w:val="0"/>
                                          <w:divBdr>
                                            <w:top w:val="none" w:sz="0" w:space="0" w:color="auto"/>
                                            <w:left w:val="none" w:sz="0" w:space="0" w:color="auto"/>
                                            <w:bottom w:val="none" w:sz="0" w:space="0" w:color="auto"/>
                                            <w:right w:val="none" w:sz="0" w:space="0" w:color="auto"/>
                                          </w:divBdr>
                                          <w:divsChild>
                                            <w:div w:id="485435968">
                                              <w:marLeft w:val="0"/>
                                              <w:marRight w:val="0"/>
                                              <w:marTop w:val="0"/>
                                              <w:marBottom w:val="0"/>
                                              <w:divBdr>
                                                <w:top w:val="none" w:sz="0" w:space="0" w:color="auto"/>
                                                <w:left w:val="none" w:sz="0" w:space="0" w:color="auto"/>
                                                <w:bottom w:val="none" w:sz="0" w:space="0" w:color="auto"/>
                                                <w:right w:val="none" w:sz="0" w:space="0" w:color="auto"/>
                                              </w:divBdr>
                                              <w:divsChild>
                                                <w:div w:id="2003660572">
                                                  <w:marLeft w:val="0"/>
                                                  <w:marRight w:val="0"/>
                                                  <w:marTop w:val="0"/>
                                                  <w:marBottom w:val="0"/>
                                                  <w:divBdr>
                                                    <w:top w:val="none" w:sz="0" w:space="0" w:color="auto"/>
                                                    <w:left w:val="none" w:sz="0" w:space="0" w:color="auto"/>
                                                    <w:bottom w:val="none" w:sz="0" w:space="0" w:color="auto"/>
                                                    <w:right w:val="none" w:sz="0" w:space="0" w:color="auto"/>
                                                  </w:divBdr>
                                                </w:div>
                                                <w:div w:id="908004330">
                                                  <w:marLeft w:val="0"/>
                                                  <w:marRight w:val="0"/>
                                                  <w:marTop w:val="0"/>
                                                  <w:marBottom w:val="0"/>
                                                  <w:divBdr>
                                                    <w:top w:val="none" w:sz="0" w:space="0" w:color="auto"/>
                                                    <w:left w:val="none" w:sz="0" w:space="0" w:color="auto"/>
                                                    <w:bottom w:val="none" w:sz="0" w:space="0" w:color="auto"/>
                                                    <w:right w:val="none" w:sz="0" w:space="0" w:color="auto"/>
                                                  </w:divBdr>
                                                </w:div>
                                              </w:divsChild>
                                            </w:div>
                                            <w:div w:id="202204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807932">
                          <w:marLeft w:val="0"/>
                          <w:marRight w:val="0"/>
                          <w:marTop w:val="0"/>
                          <w:marBottom w:val="0"/>
                          <w:divBdr>
                            <w:top w:val="none" w:sz="0" w:space="0" w:color="auto"/>
                            <w:left w:val="none" w:sz="0" w:space="0" w:color="auto"/>
                            <w:bottom w:val="none" w:sz="0" w:space="0" w:color="auto"/>
                            <w:right w:val="none" w:sz="0" w:space="0" w:color="auto"/>
                          </w:divBdr>
                          <w:divsChild>
                            <w:div w:id="1068578562">
                              <w:marLeft w:val="0"/>
                              <w:marRight w:val="0"/>
                              <w:marTop w:val="0"/>
                              <w:marBottom w:val="0"/>
                              <w:divBdr>
                                <w:top w:val="none" w:sz="0" w:space="0" w:color="auto"/>
                                <w:left w:val="none" w:sz="0" w:space="0" w:color="auto"/>
                                <w:bottom w:val="none" w:sz="0" w:space="0" w:color="auto"/>
                                <w:right w:val="none" w:sz="0" w:space="0" w:color="auto"/>
                              </w:divBdr>
                              <w:divsChild>
                                <w:div w:id="204455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1353208">
          <w:marLeft w:val="0"/>
          <w:marRight w:val="0"/>
          <w:marTop w:val="0"/>
          <w:marBottom w:val="0"/>
          <w:divBdr>
            <w:top w:val="none" w:sz="0" w:space="0" w:color="auto"/>
            <w:left w:val="none" w:sz="0" w:space="0" w:color="auto"/>
            <w:bottom w:val="none" w:sz="0" w:space="0" w:color="auto"/>
            <w:right w:val="none" w:sz="0" w:space="0" w:color="auto"/>
          </w:divBdr>
          <w:divsChild>
            <w:div w:id="29190617">
              <w:marLeft w:val="0"/>
              <w:marRight w:val="0"/>
              <w:marTop w:val="0"/>
              <w:marBottom w:val="0"/>
              <w:divBdr>
                <w:top w:val="none" w:sz="0" w:space="0" w:color="auto"/>
                <w:left w:val="none" w:sz="0" w:space="0" w:color="auto"/>
                <w:bottom w:val="none" w:sz="0" w:space="0" w:color="auto"/>
                <w:right w:val="none" w:sz="0" w:space="0" w:color="auto"/>
              </w:divBdr>
              <w:divsChild>
                <w:div w:id="1279991313">
                  <w:marLeft w:val="0"/>
                  <w:marRight w:val="0"/>
                  <w:marTop w:val="0"/>
                  <w:marBottom w:val="0"/>
                  <w:divBdr>
                    <w:top w:val="none" w:sz="0" w:space="0" w:color="auto"/>
                    <w:left w:val="none" w:sz="0" w:space="0" w:color="auto"/>
                    <w:bottom w:val="none" w:sz="0" w:space="0" w:color="auto"/>
                    <w:right w:val="none" w:sz="0" w:space="0" w:color="auto"/>
                  </w:divBdr>
                  <w:divsChild>
                    <w:div w:id="1191142299">
                      <w:marLeft w:val="0"/>
                      <w:marRight w:val="0"/>
                      <w:marTop w:val="0"/>
                      <w:marBottom w:val="0"/>
                      <w:divBdr>
                        <w:top w:val="none" w:sz="0" w:space="0" w:color="auto"/>
                        <w:left w:val="none" w:sz="0" w:space="0" w:color="auto"/>
                        <w:bottom w:val="none" w:sz="0" w:space="0" w:color="auto"/>
                        <w:right w:val="none" w:sz="0" w:space="0" w:color="auto"/>
                      </w:divBdr>
                      <w:divsChild>
                        <w:div w:id="898516031">
                          <w:marLeft w:val="0"/>
                          <w:marRight w:val="0"/>
                          <w:marTop w:val="0"/>
                          <w:marBottom w:val="0"/>
                          <w:divBdr>
                            <w:top w:val="none" w:sz="0" w:space="0" w:color="auto"/>
                            <w:left w:val="none" w:sz="0" w:space="0" w:color="auto"/>
                            <w:bottom w:val="none" w:sz="0" w:space="0" w:color="auto"/>
                            <w:right w:val="none" w:sz="0" w:space="0" w:color="auto"/>
                          </w:divBdr>
                          <w:divsChild>
                            <w:div w:id="1698968411">
                              <w:marLeft w:val="0"/>
                              <w:marRight w:val="0"/>
                              <w:marTop w:val="0"/>
                              <w:marBottom w:val="0"/>
                              <w:divBdr>
                                <w:top w:val="none" w:sz="0" w:space="0" w:color="auto"/>
                                <w:left w:val="none" w:sz="0" w:space="0" w:color="auto"/>
                                <w:bottom w:val="none" w:sz="0" w:space="0" w:color="auto"/>
                                <w:right w:val="none" w:sz="0" w:space="0" w:color="auto"/>
                              </w:divBdr>
                              <w:divsChild>
                                <w:div w:id="1687488018">
                                  <w:marLeft w:val="0"/>
                                  <w:marRight w:val="0"/>
                                  <w:marTop w:val="0"/>
                                  <w:marBottom w:val="0"/>
                                  <w:divBdr>
                                    <w:top w:val="none" w:sz="0" w:space="0" w:color="auto"/>
                                    <w:left w:val="none" w:sz="0" w:space="0" w:color="auto"/>
                                    <w:bottom w:val="none" w:sz="0" w:space="0" w:color="auto"/>
                                    <w:right w:val="none" w:sz="0" w:space="0" w:color="auto"/>
                                  </w:divBdr>
                                  <w:divsChild>
                                    <w:div w:id="461462020">
                                      <w:marLeft w:val="0"/>
                                      <w:marRight w:val="0"/>
                                      <w:marTop w:val="0"/>
                                      <w:marBottom w:val="0"/>
                                      <w:divBdr>
                                        <w:top w:val="none" w:sz="0" w:space="0" w:color="auto"/>
                                        <w:left w:val="none" w:sz="0" w:space="0" w:color="auto"/>
                                        <w:bottom w:val="none" w:sz="0" w:space="0" w:color="auto"/>
                                        <w:right w:val="none" w:sz="0" w:space="0" w:color="auto"/>
                                      </w:divBdr>
                                      <w:divsChild>
                                        <w:div w:id="77590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8782842">
          <w:marLeft w:val="0"/>
          <w:marRight w:val="0"/>
          <w:marTop w:val="0"/>
          <w:marBottom w:val="0"/>
          <w:divBdr>
            <w:top w:val="none" w:sz="0" w:space="0" w:color="auto"/>
            <w:left w:val="none" w:sz="0" w:space="0" w:color="auto"/>
            <w:bottom w:val="none" w:sz="0" w:space="0" w:color="auto"/>
            <w:right w:val="none" w:sz="0" w:space="0" w:color="auto"/>
          </w:divBdr>
          <w:divsChild>
            <w:div w:id="2109234195">
              <w:marLeft w:val="0"/>
              <w:marRight w:val="0"/>
              <w:marTop w:val="0"/>
              <w:marBottom w:val="0"/>
              <w:divBdr>
                <w:top w:val="none" w:sz="0" w:space="0" w:color="auto"/>
                <w:left w:val="none" w:sz="0" w:space="0" w:color="auto"/>
                <w:bottom w:val="none" w:sz="0" w:space="0" w:color="auto"/>
                <w:right w:val="none" w:sz="0" w:space="0" w:color="auto"/>
              </w:divBdr>
              <w:divsChild>
                <w:div w:id="1565217891">
                  <w:marLeft w:val="0"/>
                  <w:marRight w:val="0"/>
                  <w:marTop w:val="0"/>
                  <w:marBottom w:val="0"/>
                  <w:divBdr>
                    <w:top w:val="none" w:sz="0" w:space="0" w:color="auto"/>
                    <w:left w:val="none" w:sz="0" w:space="0" w:color="auto"/>
                    <w:bottom w:val="none" w:sz="0" w:space="0" w:color="auto"/>
                    <w:right w:val="none" w:sz="0" w:space="0" w:color="auto"/>
                  </w:divBdr>
                  <w:divsChild>
                    <w:div w:id="1180117257">
                      <w:marLeft w:val="0"/>
                      <w:marRight w:val="0"/>
                      <w:marTop w:val="0"/>
                      <w:marBottom w:val="0"/>
                      <w:divBdr>
                        <w:top w:val="none" w:sz="0" w:space="0" w:color="auto"/>
                        <w:left w:val="none" w:sz="0" w:space="0" w:color="auto"/>
                        <w:bottom w:val="none" w:sz="0" w:space="0" w:color="auto"/>
                        <w:right w:val="none" w:sz="0" w:space="0" w:color="auto"/>
                      </w:divBdr>
                      <w:divsChild>
                        <w:div w:id="1870412819">
                          <w:marLeft w:val="0"/>
                          <w:marRight w:val="0"/>
                          <w:marTop w:val="0"/>
                          <w:marBottom w:val="0"/>
                          <w:divBdr>
                            <w:top w:val="none" w:sz="0" w:space="0" w:color="auto"/>
                            <w:left w:val="none" w:sz="0" w:space="0" w:color="auto"/>
                            <w:bottom w:val="none" w:sz="0" w:space="0" w:color="auto"/>
                            <w:right w:val="none" w:sz="0" w:space="0" w:color="auto"/>
                          </w:divBdr>
                          <w:divsChild>
                            <w:div w:id="1023171356">
                              <w:marLeft w:val="0"/>
                              <w:marRight w:val="0"/>
                              <w:marTop w:val="0"/>
                              <w:marBottom w:val="0"/>
                              <w:divBdr>
                                <w:top w:val="none" w:sz="0" w:space="0" w:color="auto"/>
                                <w:left w:val="none" w:sz="0" w:space="0" w:color="auto"/>
                                <w:bottom w:val="none" w:sz="0" w:space="0" w:color="auto"/>
                                <w:right w:val="none" w:sz="0" w:space="0" w:color="auto"/>
                              </w:divBdr>
                              <w:divsChild>
                                <w:div w:id="895437087">
                                  <w:marLeft w:val="0"/>
                                  <w:marRight w:val="0"/>
                                  <w:marTop w:val="0"/>
                                  <w:marBottom w:val="0"/>
                                  <w:divBdr>
                                    <w:top w:val="none" w:sz="0" w:space="0" w:color="auto"/>
                                    <w:left w:val="none" w:sz="0" w:space="0" w:color="auto"/>
                                    <w:bottom w:val="none" w:sz="0" w:space="0" w:color="auto"/>
                                    <w:right w:val="none" w:sz="0" w:space="0" w:color="auto"/>
                                  </w:divBdr>
                                  <w:divsChild>
                                    <w:div w:id="1011223374">
                                      <w:marLeft w:val="0"/>
                                      <w:marRight w:val="0"/>
                                      <w:marTop w:val="0"/>
                                      <w:marBottom w:val="0"/>
                                      <w:divBdr>
                                        <w:top w:val="none" w:sz="0" w:space="0" w:color="auto"/>
                                        <w:left w:val="none" w:sz="0" w:space="0" w:color="auto"/>
                                        <w:bottom w:val="none" w:sz="0" w:space="0" w:color="auto"/>
                                        <w:right w:val="none" w:sz="0" w:space="0" w:color="auto"/>
                                      </w:divBdr>
                                      <w:divsChild>
                                        <w:div w:id="1058435350">
                                          <w:marLeft w:val="0"/>
                                          <w:marRight w:val="0"/>
                                          <w:marTop w:val="0"/>
                                          <w:marBottom w:val="0"/>
                                          <w:divBdr>
                                            <w:top w:val="none" w:sz="0" w:space="0" w:color="auto"/>
                                            <w:left w:val="none" w:sz="0" w:space="0" w:color="auto"/>
                                            <w:bottom w:val="none" w:sz="0" w:space="0" w:color="auto"/>
                                            <w:right w:val="none" w:sz="0" w:space="0" w:color="auto"/>
                                          </w:divBdr>
                                          <w:divsChild>
                                            <w:div w:id="513812832">
                                              <w:marLeft w:val="0"/>
                                              <w:marRight w:val="0"/>
                                              <w:marTop w:val="0"/>
                                              <w:marBottom w:val="0"/>
                                              <w:divBdr>
                                                <w:top w:val="none" w:sz="0" w:space="0" w:color="auto"/>
                                                <w:left w:val="none" w:sz="0" w:space="0" w:color="auto"/>
                                                <w:bottom w:val="none" w:sz="0" w:space="0" w:color="auto"/>
                                                <w:right w:val="none" w:sz="0" w:space="0" w:color="auto"/>
                                              </w:divBdr>
                                              <w:divsChild>
                                                <w:div w:id="163933719">
                                                  <w:marLeft w:val="0"/>
                                                  <w:marRight w:val="0"/>
                                                  <w:marTop w:val="0"/>
                                                  <w:marBottom w:val="0"/>
                                                  <w:divBdr>
                                                    <w:top w:val="none" w:sz="0" w:space="0" w:color="auto"/>
                                                    <w:left w:val="none" w:sz="0" w:space="0" w:color="auto"/>
                                                    <w:bottom w:val="none" w:sz="0" w:space="0" w:color="auto"/>
                                                    <w:right w:val="none" w:sz="0" w:space="0" w:color="auto"/>
                                                  </w:divBdr>
                                                </w:div>
                                              </w:divsChild>
                                            </w:div>
                                            <w:div w:id="588974805">
                                              <w:marLeft w:val="0"/>
                                              <w:marRight w:val="0"/>
                                              <w:marTop w:val="0"/>
                                              <w:marBottom w:val="0"/>
                                              <w:divBdr>
                                                <w:top w:val="none" w:sz="0" w:space="0" w:color="auto"/>
                                                <w:left w:val="none" w:sz="0" w:space="0" w:color="auto"/>
                                                <w:bottom w:val="none" w:sz="0" w:space="0" w:color="auto"/>
                                                <w:right w:val="none" w:sz="0" w:space="0" w:color="auto"/>
                                              </w:divBdr>
                                              <w:divsChild>
                                                <w:div w:id="1611087147">
                                                  <w:marLeft w:val="0"/>
                                                  <w:marRight w:val="0"/>
                                                  <w:marTop w:val="0"/>
                                                  <w:marBottom w:val="0"/>
                                                  <w:divBdr>
                                                    <w:top w:val="none" w:sz="0" w:space="0" w:color="auto"/>
                                                    <w:left w:val="none" w:sz="0" w:space="0" w:color="auto"/>
                                                    <w:bottom w:val="none" w:sz="0" w:space="0" w:color="auto"/>
                                                    <w:right w:val="none" w:sz="0" w:space="0" w:color="auto"/>
                                                  </w:divBdr>
                                                </w:div>
                                              </w:divsChild>
                                            </w:div>
                                            <w:div w:id="579411516">
                                              <w:marLeft w:val="0"/>
                                              <w:marRight w:val="0"/>
                                              <w:marTop w:val="0"/>
                                              <w:marBottom w:val="0"/>
                                              <w:divBdr>
                                                <w:top w:val="none" w:sz="0" w:space="0" w:color="auto"/>
                                                <w:left w:val="none" w:sz="0" w:space="0" w:color="auto"/>
                                                <w:bottom w:val="none" w:sz="0" w:space="0" w:color="auto"/>
                                                <w:right w:val="none" w:sz="0" w:space="0" w:color="auto"/>
                                              </w:divBdr>
                                              <w:divsChild>
                                                <w:div w:id="433937682">
                                                  <w:marLeft w:val="0"/>
                                                  <w:marRight w:val="0"/>
                                                  <w:marTop w:val="0"/>
                                                  <w:marBottom w:val="0"/>
                                                  <w:divBdr>
                                                    <w:top w:val="none" w:sz="0" w:space="0" w:color="auto"/>
                                                    <w:left w:val="none" w:sz="0" w:space="0" w:color="auto"/>
                                                    <w:bottom w:val="none" w:sz="0" w:space="0" w:color="auto"/>
                                                    <w:right w:val="none" w:sz="0" w:space="0" w:color="auto"/>
                                                  </w:divBdr>
                                                </w:div>
                                              </w:divsChild>
                                            </w:div>
                                            <w:div w:id="1298728281">
                                              <w:marLeft w:val="0"/>
                                              <w:marRight w:val="0"/>
                                              <w:marTop w:val="0"/>
                                              <w:marBottom w:val="0"/>
                                              <w:divBdr>
                                                <w:top w:val="none" w:sz="0" w:space="0" w:color="auto"/>
                                                <w:left w:val="none" w:sz="0" w:space="0" w:color="auto"/>
                                                <w:bottom w:val="none" w:sz="0" w:space="0" w:color="auto"/>
                                                <w:right w:val="none" w:sz="0" w:space="0" w:color="auto"/>
                                              </w:divBdr>
                                              <w:divsChild>
                                                <w:div w:id="205785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788144">
                                          <w:marLeft w:val="0"/>
                                          <w:marRight w:val="0"/>
                                          <w:marTop w:val="0"/>
                                          <w:marBottom w:val="0"/>
                                          <w:divBdr>
                                            <w:top w:val="none" w:sz="0" w:space="0" w:color="auto"/>
                                            <w:left w:val="none" w:sz="0" w:space="0" w:color="auto"/>
                                            <w:bottom w:val="none" w:sz="0" w:space="0" w:color="auto"/>
                                            <w:right w:val="none" w:sz="0" w:space="0" w:color="auto"/>
                                          </w:divBdr>
                                          <w:divsChild>
                                            <w:div w:id="1758480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5633959">
      <w:bodyDiv w:val="1"/>
      <w:marLeft w:val="0"/>
      <w:marRight w:val="0"/>
      <w:marTop w:val="0"/>
      <w:marBottom w:val="0"/>
      <w:divBdr>
        <w:top w:val="none" w:sz="0" w:space="0" w:color="auto"/>
        <w:left w:val="none" w:sz="0" w:space="0" w:color="auto"/>
        <w:bottom w:val="none" w:sz="0" w:space="0" w:color="auto"/>
        <w:right w:val="none" w:sz="0" w:space="0" w:color="auto"/>
      </w:divBdr>
    </w:div>
    <w:div w:id="1461992613">
      <w:bodyDiv w:val="1"/>
      <w:marLeft w:val="0"/>
      <w:marRight w:val="0"/>
      <w:marTop w:val="0"/>
      <w:marBottom w:val="0"/>
      <w:divBdr>
        <w:top w:val="none" w:sz="0" w:space="0" w:color="auto"/>
        <w:left w:val="none" w:sz="0" w:space="0" w:color="auto"/>
        <w:bottom w:val="none" w:sz="0" w:space="0" w:color="auto"/>
        <w:right w:val="none" w:sz="0" w:space="0" w:color="auto"/>
      </w:divBdr>
    </w:div>
    <w:div w:id="1509101066">
      <w:bodyDiv w:val="1"/>
      <w:marLeft w:val="0"/>
      <w:marRight w:val="0"/>
      <w:marTop w:val="0"/>
      <w:marBottom w:val="0"/>
      <w:divBdr>
        <w:top w:val="none" w:sz="0" w:space="0" w:color="auto"/>
        <w:left w:val="none" w:sz="0" w:space="0" w:color="auto"/>
        <w:bottom w:val="none" w:sz="0" w:space="0" w:color="auto"/>
        <w:right w:val="none" w:sz="0" w:space="0" w:color="auto"/>
      </w:divBdr>
    </w:div>
    <w:div w:id="1517305988">
      <w:bodyDiv w:val="1"/>
      <w:marLeft w:val="0"/>
      <w:marRight w:val="0"/>
      <w:marTop w:val="0"/>
      <w:marBottom w:val="0"/>
      <w:divBdr>
        <w:top w:val="none" w:sz="0" w:space="0" w:color="auto"/>
        <w:left w:val="none" w:sz="0" w:space="0" w:color="auto"/>
        <w:bottom w:val="none" w:sz="0" w:space="0" w:color="auto"/>
        <w:right w:val="none" w:sz="0" w:space="0" w:color="auto"/>
      </w:divBdr>
      <w:divsChild>
        <w:div w:id="262537488">
          <w:marLeft w:val="0"/>
          <w:marRight w:val="0"/>
          <w:marTop w:val="0"/>
          <w:marBottom w:val="0"/>
          <w:divBdr>
            <w:top w:val="none" w:sz="0" w:space="0" w:color="auto"/>
            <w:left w:val="none" w:sz="0" w:space="0" w:color="auto"/>
            <w:bottom w:val="none" w:sz="0" w:space="0" w:color="auto"/>
            <w:right w:val="none" w:sz="0" w:space="0" w:color="auto"/>
          </w:divBdr>
        </w:div>
        <w:div w:id="1056010727">
          <w:marLeft w:val="0"/>
          <w:marRight w:val="0"/>
          <w:marTop w:val="0"/>
          <w:marBottom w:val="0"/>
          <w:divBdr>
            <w:top w:val="none" w:sz="0" w:space="0" w:color="auto"/>
            <w:left w:val="none" w:sz="0" w:space="0" w:color="auto"/>
            <w:bottom w:val="none" w:sz="0" w:space="0" w:color="auto"/>
            <w:right w:val="none" w:sz="0" w:space="0" w:color="auto"/>
          </w:divBdr>
        </w:div>
      </w:divsChild>
    </w:div>
    <w:div w:id="1522628298">
      <w:bodyDiv w:val="1"/>
      <w:marLeft w:val="0"/>
      <w:marRight w:val="0"/>
      <w:marTop w:val="0"/>
      <w:marBottom w:val="0"/>
      <w:divBdr>
        <w:top w:val="none" w:sz="0" w:space="0" w:color="auto"/>
        <w:left w:val="none" w:sz="0" w:space="0" w:color="auto"/>
        <w:bottom w:val="none" w:sz="0" w:space="0" w:color="auto"/>
        <w:right w:val="none" w:sz="0" w:space="0" w:color="auto"/>
      </w:divBdr>
      <w:divsChild>
        <w:div w:id="389571948">
          <w:marLeft w:val="0"/>
          <w:marRight w:val="0"/>
          <w:marTop w:val="0"/>
          <w:marBottom w:val="0"/>
          <w:divBdr>
            <w:top w:val="none" w:sz="0" w:space="0" w:color="auto"/>
            <w:left w:val="none" w:sz="0" w:space="0" w:color="auto"/>
            <w:bottom w:val="none" w:sz="0" w:space="0" w:color="auto"/>
            <w:right w:val="none" w:sz="0" w:space="0" w:color="auto"/>
          </w:divBdr>
          <w:divsChild>
            <w:div w:id="1592396448">
              <w:marLeft w:val="0"/>
              <w:marRight w:val="0"/>
              <w:marTop w:val="0"/>
              <w:marBottom w:val="0"/>
              <w:divBdr>
                <w:top w:val="none" w:sz="0" w:space="0" w:color="auto"/>
                <w:left w:val="none" w:sz="0" w:space="0" w:color="auto"/>
                <w:bottom w:val="none" w:sz="0" w:space="0" w:color="auto"/>
                <w:right w:val="none" w:sz="0" w:space="0" w:color="auto"/>
              </w:divBdr>
              <w:divsChild>
                <w:div w:id="1559586328">
                  <w:marLeft w:val="0"/>
                  <w:marRight w:val="0"/>
                  <w:marTop w:val="0"/>
                  <w:marBottom w:val="0"/>
                  <w:divBdr>
                    <w:top w:val="none" w:sz="0" w:space="0" w:color="auto"/>
                    <w:left w:val="none" w:sz="0" w:space="0" w:color="auto"/>
                    <w:bottom w:val="none" w:sz="0" w:space="0" w:color="auto"/>
                    <w:right w:val="none" w:sz="0" w:space="0" w:color="auto"/>
                  </w:divBdr>
                  <w:divsChild>
                    <w:div w:id="127378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113871">
          <w:marLeft w:val="0"/>
          <w:marRight w:val="0"/>
          <w:marTop w:val="0"/>
          <w:marBottom w:val="0"/>
          <w:divBdr>
            <w:top w:val="none" w:sz="0" w:space="0" w:color="auto"/>
            <w:left w:val="none" w:sz="0" w:space="0" w:color="auto"/>
            <w:bottom w:val="none" w:sz="0" w:space="0" w:color="auto"/>
            <w:right w:val="none" w:sz="0" w:space="0" w:color="auto"/>
          </w:divBdr>
          <w:divsChild>
            <w:div w:id="86451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252198">
      <w:bodyDiv w:val="1"/>
      <w:marLeft w:val="0"/>
      <w:marRight w:val="0"/>
      <w:marTop w:val="0"/>
      <w:marBottom w:val="0"/>
      <w:divBdr>
        <w:top w:val="none" w:sz="0" w:space="0" w:color="auto"/>
        <w:left w:val="none" w:sz="0" w:space="0" w:color="auto"/>
        <w:bottom w:val="none" w:sz="0" w:space="0" w:color="auto"/>
        <w:right w:val="none" w:sz="0" w:space="0" w:color="auto"/>
      </w:divBdr>
    </w:div>
    <w:div w:id="1551068050">
      <w:bodyDiv w:val="1"/>
      <w:marLeft w:val="0"/>
      <w:marRight w:val="0"/>
      <w:marTop w:val="0"/>
      <w:marBottom w:val="0"/>
      <w:divBdr>
        <w:top w:val="none" w:sz="0" w:space="0" w:color="auto"/>
        <w:left w:val="none" w:sz="0" w:space="0" w:color="auto"/>
        <w:bottom w:val="none" w:sz="0" w:space="0" w:color="auto"/>
        <w:right w:val="none" w:sz="0" w:space="0" w:color="auto"/>
      </w:divBdr>
      <w:divsChild>
        <w:div w:id="1222138057">
          <w:marLeft w:val="0"/>
          <w:marRight w:val="0"/>
          <w:marTop w:val="0"/>
          <w:marBottom w:val="0"/>
          <w:divBdr>
            <w:top w:val="none" w:sz="0" w:space="0" w:color="auto"/>
            <w:left w:val="none" w:sz="0" w:space="0" w:color="auto"/>
            <w:bottom w:val="none" w:sz="0" w:space="0" w:color="auto"/>
            <w:right w:val="none" w:sz="0" w:space="0" w:color="auto"/>
          </w:divBdr>
          <w:divsChild>
            <w:div w:id="2090730651">
              <w:marLeft w:val="0"/>
              <w:marRight w:val="0"/>
              <w:marTop w:val="0"/>
              <w:marBottom w:val="0"/>
              <w:divBdr>
                <w:top w:val="none" w:sz="0" w:space="0" w:color="auto"/>
                <w:left w:val="none" w:sz="0" w:space="0" w:color="auto"/>
                <w:bottom w:val="none" w:sz="0" w:space="0" w:color="auto"/>
                <w:right w:val="none" w:sz="0" w:space="0" w:color="auto"/>
              </w:divBdr>
              <w:divsChild>
                <w:div w:id="70302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870263">
          <w:marLeft w:val="0"/>
          <w:marRight w:val="0"/>
          <w:marTop w:val="0"/>
          <w:marBottom w:val="0"/>
          <w:divBdr>
            <w:top w:val="none" w:sz="0" w:space="0" w:color="auto"/>
            <w:left w:val="none" w:sz="0" w:space="0" w:color="auto"/>
            <w:bottom w:val="none" w:sz="0" w:space="0" w:color="auto"/>
            <w:right w:val="none" w:sz="0" w:space="0" w:color="auto"/>
          </w:divBdr>
        </w:div>
      </w:divsChild>
    </w:div>
    <w:div w:id="1561788420">
      <w:bodyDiv w:val="1"/>
      <w:marLeft w:val="0"/>
      <w:marRight w:val="0"/>
      <w:marTop w:val="0"/>
      <w:marBottom w:val="0"/>
      <w:divBdr>
        <w:top w:val="none" w:sz="0" w:space="0" w:color="auto"/>
        <w:left w:val="none" w:sz="0" w:space="0" w:color="auto"/>
        <w:bottom w:val="none" w:sz="0" w:space="0" w:color="auto"/>
        <w:right w:val="none" w:sz="0" w:space="0" w:color="auto"/>
      </w:divBdr>
    </w:div>
    <w:div w:id="1585604766">
      <w:bodyDiv w:val="1"/>
      <w:marLeft w:val="0"/>
      <w:marRight w:val="0"/>
      <w:marTop w:val="0"/>
      <w:marBottom w:val="0"/>
      <w:divBdr>
        <w:top w:val="none" w:sz="0" w:space="0" w:color="auto"/>
        <w:left w:val="none" w:sz="0" w:space="0" w:color="auto"/>
        <w:bottom w:val="none" w:sz="0" w:space="0" w:color="auto"/>
        <w:right w:val="none" w:sz="0" w:space="0" w:color="auto"/>
      </w:divBdr>
    </w:div>
    <w:div w:id="1613123636">
      <w:bodyDiv w:val="1"/>
      <w:marLeft w:val="0"/>
      <w:marRight w:val="0"/>
      <w:marTop w:val="0"/>
      <w:marBottom w:val="0"/>
      <w:divBdr>
        <w:top w:val="none" w:sz="0" w:space="0" w:color="auto"/>
        <w:left w:val="none" w:sz="0" w:space="0" w:color="auto"/>
        <w:bottom w:val="none" w:sz="0" w:space="0" w:color="auto"/>
        <w:right w:val="none" w:sz="0" w:space="0" w:color="auto"/>
      </w:divBdr>
    </w:div>
    <w:div w:id="1628049938">
      <w:bodyDiv w:val="1"/>
      <w:marLeft w:val="0"/>
      <w:marRight w:val="0"/>
      <w:marTop w:val="0"/>
      <w:marBottom w:val="0"/>
      <w:divBdr>
        <w:top w:val="none" w:sz="0" w:space="0" w:color="auto"/>
        <w:left w:val="none" w:sz="0" w:space="0" w:color="auto"/>
        <w:bottom w:val="none" w:sz="0" w:space="0" w:color="auto"/>
        <w:right w:val="none" w:sz="0" w:space="0" w:color="auto"/>
      </w:divBdr>
    </w:div>
    <w:div w:id="1669551530">
      <w:bodyDiv w:val="1"/>
      <w:marLeft w:val="0"/>
      <w:marRight w:val="0"/>
      <w:marTop w:val="0"/>
      <w:marBottom w:val="0"/>
      <w:divBdr>
        <w:top w:val="none" w:sz="0" w:space="0" w:color="auto"/>
        <w:left w:val="none" w:sz="0" w:space="0" w:color="auto"/>
        <w:bottom w:val="none" w:sz="0" w:space="0" w:color="auto"/>
        <w:right w:val="none" w:sz="0" w:space="0" w:color="auto"/>
      </w:divBdr>
      <w:divsChild>
        <w:div w:id="886600981">
          <w:marLeft w:val="0"/>
          <w:marRight w:val="0"/>
          <w:marTop w:val="0"/>
          <w:marBottom w:val="0"/>
          <w:divBdr>
            <w:top w:val="none" w:sz="0" w:space="0" w:color="auto"/>
            <w:left w:val="none" w:sz="0" w:space="0" w:color="auto"/>
            <w:bottom w:val="none" w:sz="0" w:space="0" w:color="auto"/>
            <w:right w:val="none" w:sz="0" w:space="0" w:color="auto"/>
          </w:divBdr>
        </w:div>
      </w:divsChild>
    </w:div>
    <w:div w:id="1673026449">
      <w:bodyDiv w:val="1"/>
      <w:marLeft w:val="0"/>
      <w:marRight w:val="0"/>
      <w:marTop w:val="0"/>
      <w:marBottom w:val="0"/>
      <w:divBdr>
        <w:top w:val="none" w:sz="0" w:space="0" w:color="auto"/>
        <w:left w:val="none" w:sz="0" w:space="0" w:color="auto"/>
        <w:bottom w:val="none" w:sz="0" w:space="0" w:color="auto"/>
        <w:right w:val="none" w:sz="0" w:space="0" w:color="auto"/>
      </w:divBdr>
    </w:div>
    <w:div w:id="1680698328">
      <w:bodyDiv w:val="1"/>
      <w:marLeft w:val="0"/>
      <w:marRight w:val="0"/>
      <w:marTop w:val="0"/>
      <w:marBottom w:val="0"/>
      <w:divBdr>
        <w:top w:val="none" w:sz="0" w:space="0" w:color="auto"/>
        <w:left w:val="none" w:sz="0" w:space="0" w:color="auto"/>
        <w:bottom w:val="none" w:sz="0" w:space="0" w:color="auto"/>
        <w:right w:val="none" w:sz="0" w:space="0" w:color="auto"/>
      </w:divBdr>
    </w:div>
    <w:div w:id="1692490195">
      <w:bodyDiv w:val="1"/>
      <w:marLeft w:val="0"/>
      <w:marRight w:val="0"/>
      <w:marTop w:val="0"/>
      <w:marBottom w:val="0"/>
      <w:divBdr>
        <w:top w:val="none" w:sz="0" w:space="0" w:color="auto"/>
        <w:left w:val="none" w:sz="0" w:space="0" w:color="auto"/>
        <w:bottom w:val="none" w:sz="0" w:space="0" w:color="auto"/>
        <w:right w:val="none" w:sz="0" w:space="0" w:color="auto"/>
      </w:divBdr>
      <w:divsChild>
        <w:div w:id="1973316817">
          <w:marLeft w:val="0"/>
          <w:marRight w:val="0"/>
          <w:marTop w:val="0"/>
          <w:marBottom w:val="0"/>
          <w:divBdr>
            <w:top w:val="none" w:sz="0" w:space="0" w:color="auto"/>
            <w:left w:val="none" w:sz="0" w:space="0" w:color="auto"/>
            <w:bottom w:val="none" w:sz="0" w:space="0" w:color="auto"/>
            <w:right w:val="none" w:sz="0" w:space="0" w:color="auto"/>
          </w:divBdr>
          <w:divsChild>
            <w:div w:id="1935287381">
              <w:marLeft w:val="0"/>
              <w:marRight w:val="0"/>
              <w:marTop w:val="0"/>
              <w:marBottom w:val="0"/>
              <w:divBdr>
                <w:top w:val="none" w:sz="0" w:space="0" w:color="auto"/>
                <w:left w:val="none" w:sz="0" w:space="0" w:color="auto"/>
                <w:bottom w:val="none" w:sz="0" w:space="0" w:color="auto"/>
                <w:right w:val="none" w:sz="0" w:space="0" w:color="auto"/>
              </w:divBdr>
              <w:divsChild>
                <w:div w:id="933169015">
                  <w:marLeft w:val="0"/>
                  <w:marRight w:val="0"/>
                  <w:marTop w:val="0"/>
                  <w:marBottom w:val="0"/>
                  <w:divBdr>
                    <w:top w:val="none" w:sz="0" w:space="0" w:color="auto"/>
                    <w:left w:val="none" w:sz="0" w:space="0" w:color="auto"/>
                    <w:bottom w:val="none" w:sz="0" w:space="0" w:color="auto"/>
                    <w:right w:val="none" w:sz="0" w:space="0" w:color="auto"/>
                  </w:divBdr>
                  <w:divsChild>
                    <w:div w:id="95899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292471">
          <w:marLeft w:val="0"/>
          <w:marRight w:val="0"/>
          <w:marTop w:val="0"/>
          <w:marBottom w:val="0"/>
          <w:divBdr>
            <w:top w:val="none" w:sz="0" w:space="0" w:color="auto"/>
            <w:left w:val="none" w:sz="0" w:space="0" w:color="auto"/>
            <w:bottom w:val="none" w:sz="0" w:space="0" w:color="auto"/>
            <w:right w:val="none" w:sz="0" w:space="0" w:color="auto"/>
          </w:divBdr>
          <w:divsChild>
            <w:div w:id="143806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575099">
      <w:bodyDiv w:val="1"/>
      <w:marLeft w:val="0"/>
      <w:marRight w:val="0"/>
      <w:marTop w:val="0"/>
      <w:marBottom w:val="0"/>
      <w:divBdr>
        <w:top w:val="none" w:sz="0" w:space="0" w:color="auto"/>
        <w:left w:val="none" w:sz="0" w:space="0" w:color="auto"/>
        <w:bottom w:val="none" w:sz="0" w:space="0" w:color="auto"/>
        <w:right w:val="none" w:sz="0" w:space="0" w:color="auto"/>
      </w:divBdr>
    </w:div>
    <w:div w:id="1721711426">
      <w:bodyDiv w:val="1"/>
      <w:marLeft w:val="0"/>
      <w:marRight w:val="0"/>
      <w:marTop w:val="0"/>
      <w:marBottom w:val="0"/>
      <w:divBdr>
        <w:top w:val="none" w:sz="0" w:space="0" w:color="auto"/>
        <w:left w:val="none" w:sz="0" w:space="0" w:color="auto"/>
        <w:bottom w:val="none" w:sz="0" w:space="0" w:color="auto"/>
        <w:right w:val="none" w:sz="0" w:space="0" w:color="auto"/>
      </w:divBdr>
    </w:div>
    <w:div w:id="1721902930">
      <w:bodyDiv w:val="1"/>
      <w:marLeft w:val="0"/>
      <w:marRight w:val="0"/>
      <w:marTop w:val="0"/>
      <w:marBottom w:val="0"/>
      <w:divBdr>
        <w:top w:val="none" w:sz="0" w:space="0" w:color="auto"/>
        <w:left w:val="none" w:sz="0" w:space="0" w:color="auto"/>
        <w:bottom w:val="none" w:sz="0" w:space="0" w:color="auto"/>
        <w:right w:val="none" w:sz="0" w:space="0" w:color="auto"/>
      </w:divBdr>
    </w:div>
    <w:div w:id="1727143736">
      <w:bodyDiv w:val="1"/>
      <w:marLeft w:val="0"/>
      <w:marRight w:val="0"/>
      <w:marTop w:val="0"/>
      <w:marBottom w:val="0"/>
      <w:divBdr>
        <w:top w:val="none" w:sz="0" w:space="0" w:color="auto"/>
        <w:left w:val="none" w:sz="0" w:space="0" w:color="auto"/>
        <w:bottom w:val="none" w:sz="0" w:space="0" w:color="auto"/>
        <w:right w:val="none" w:sz="0" w:space="0" w:color="auto"/>
      </w:divBdr>
    </w:div>
    <w:div w:id="1729185100">
      <w:bodyDiv w:val="1"/>
      <w:marLeft w:val="0"/>
      <w:marRight w:val="0"/>
      <w:marTop w:val="0"/>
      <w:marBottom w:val="0"/>
      <w:divBdr>
        <w:top w:val="none" w:sz="0" w:space="0" w:color="auto"/>
        <w:left w:val="none" w:sz="0" w:space="0" w:color="auto"/>
        <w:bottom w:val="none" w:sz="0" w:space="0" w:color="auto"/>
        <w:right w:val="none" w:sz="0" w:space="0" w:color="auto"/>
      </w:divBdr>
    </w:div>
    <w:div w:id="1729299975">
      <w:bodyDiv w:val="1"/>
      <w:marLeft w:val="0"/>
      <w:marRight w:val="0"/>
      <w:marTop w:val="0"/>
      <w:marBottom w:val="0"/>
      <w:divBdr>
        <w:top w:val="none" w:sz="0" w:space="0" w:color="auto"/>
        <w:left w:val="none" w:sz="0" w:space="0" w:color="auto"/>
        <w:bottom w:val="none" w:sz="0" w:space="0" w:color="auto"/>
        <w:right w:val="none" w:sz="0" w:space="0" w:color="auto"/>
      </w:divBdr>
    </w:div>
    <w:div w:id="1766998767">
      <w:bodyDiv w:val="1"/>
      <w:marLeft w:val="0"/>
      <w:marRight w:val="0"/>
      <w:marTop w:val="0"/>
      <w:marBottom w:val="0"/>
      <w:divBdr>
        <w:top w:val="none" w:sz="0" w:space="0" w:color="auto"/>
        <w:left w:val="none" w:sz="0" w:space="0" w:color="auto"/>
        <w:bottom w:val="none" w:sz="0" w:space="0" w:color="auto"/>
        <w:right w:val="none" w:sz="0" w:space="0" w:color="auto"/>
      </w:divBdr>
      <w:divsChild>
        <w:div w:id="611405148">
          <w:marLeft w:val="0"/>
          <w:marRight w:val="0"/>
          <w:marTop w:val="0"/>
          <w:marBottom w:val="0"/>
          <w:divBdr>
            <w:top w:val="none" w:sz="0" w:space="0" w:color="auto"/>
            <w:left w:val="none" w:sz="0" w:space="0" w:color="auto"/>
            <w:bottom w:val="none" w:sz="0" w:space="0" w:color="auto"/>
            <w:right w:val="none" w:sz="0" w:space="0" w:color="auto"/>
          </w:divBdr>
          <w:divsChild>
            <w:div w:id="110758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767172">
      <w:bodyDiv w:val="1"/>
      <w:marLeft w:val="0"/>
      <w:marRight w:val="0"/>
      <w:marTop w:val="0"/>
      <w:marBottom w:val="0"/>
      <w:divBdr>
        <w:top w:val="none" w:sz="0" w:space="0" w:color="auto"/>
        <w:left w:val="none" w:sz="0" w:space="0" w:color="auto"/>
        <w:bottom w:val="none" w:sz="0" w:space="0" w:color="auto"/>
        <w:right w:val="none" w:sz="0" w:space="0" w:color="auto"/>
      </w:divBdr>
    </w:div>
    <w:div w:id="1845127979">
      <w:bodyDiv w:val="1"/>
      <w:marLeft w:val="0"/>
      <w:marRight w:val="0"/>
      <w:marTop w:val="0"/>
      <w:marBottom w:val="0"/>
      <w:divBdr>
        <w:top w:val="none" w:sz="0" w:space="0" w:color="auto"/>
        <w:left w:val="none" w:sz="0" w:space="0" w:color="auto"/>
        <w:bottom w:val="none" w:sz="0" w:space="0" w:color="auto"/>
        <w:right w:val="none" w:sz="0" w:space="0" w:color="auto"/>
      </w:divBdr>
    </w:div>
    <w:div w:id="1847398665">
      <w:bodyDiv w:val="1"/>
      <w:marLeft w:val="0"/>
      <w:marRight w:val="0"/>
      <w:marTop w:val="0"/>
      <w:marBottom w:val="0"/>
      <w:divBdr>
        <w:top w:val="none" w:sz="0" w:space="0" w:color="auto"/>
        <w:left w:val="none" w:sz="0" w:space="0" w:color="auto"/>
        <w:bottom w:val="none" w:sz="0" w:space="0" w:color="auto"/>
        <w:right w:val="none" w:sz="0" w:space="0" w:color="auto"/>
      </w:divBdr>
    </w:div>
    <w:div w:id="1856311831">
      <w:bodyDiv w:val="1"/>
      <w:marLeft w:val="0"/>
      <w:marRight w:val="0"/>
      <w:marTop w:val="0"/>
      <w:marBottom w:val="0"/>
      <w:divBdr>
        <w:top w:val="none" w:sz="0" w:space="0" w:color="auto"/>
        <w:left w:val="none" w:sz="0" w:space="0" w:color="auto"/>
        <w:bottom w:val="none" w:sz="0" w:space="0" w:color="auto"/>
        <w:right w:val="none" w:sz="0" w:space="0" w:color="auto"/>
      </w:divBdr>
      <w:divsChild>
        <w:div w:id="888996203">
          <w:marLeft w:val="0"/>
          <w:marRight w:val="0"/>
          <w:marTop w:val="0"/>
          <w:marBottom w:val="0"/>
          <w:divBdr>
            <w:top w:val="none" w:sz="0" w:space="0" w:color="auto"/>
            <w:left w:val="none" w:sz="0" w:space="0" w:color="auto"/>
            <w:bottom w:val="none" w:sz="0" w:space="0" w:color="auto"/>
            <w:right w:val="none" w:sz="0" w:space="0" w:color="auto"/>
          </w:divBdr>
        </w:div>
      </w:divsChild>
    </w:div>
    <w:div w:id="1865708474">
      <w:bodyDiv w:val="1"/>
      <w:marLeft w:val="0"/>
      <w:marRight w:val="0"/>
      <w:marTop w:val="0"/>
      <w:marBottom w:val="0"/>
      <w:divBdr>
        <w:top w:val="none" w:sz="0" w:space="0" w:color="auto"/>
        <w:left w:val="none" w:sz="0" w:space="0" w:color="auto"/>
        <w:bottom w:val="none" w:sz="0" w:space="0" w:color="auto"/>
        <w:right w:val="none" w:sz="0" w:space="0" w:color="auto"/>
      </w:divBdr>
    </w:div>
    <w:div w:id="1873494317">
      <w:bodyDiv w:val="1"/>
      <w:marLeft w:val="0"/>
      <w:marRight w:val="0"/>
      <w:marTop w:val="0"/>
      <w:marBottom w:val="0"/>
      <w:divBdr>
        <w:top w:val="none" w:sz="0" w:space="0" w:color="auto"/>
        <w:left w:val="none" w:sz="0" w:space="0" w:color="auto"/>
        <w:bottom w:val="none" w:sz="0" w:space="0" w:color="auto"/>
        <w:right w:val="none" w:sz="0" w:space="0" w:color="auto"/>
      </w:divBdr>
    </w:div>
    <w:div w:id="1876773399">
      <w:bodyDiv w:val="1"/>
      <w:marLeft w:val="0"/>
      <w:marRight w:val="0"/>
      <w:marTop w:val="0"/>
      <w:marBottom w:val="0"/>
      <w:divBdr>
        <w:top w:val="none" w:sz="0" w:space="0" w:color="auto"/>
        <w:left w:val="none" w:sz="0" w:space="0" w:color="auto"/>
        <w:bottom w:val="none" w:sz="0" w:space="0" w:color="auto"/>
        <w:right w:val="none" w:sz="0" w:space="0" w:color="auto"/>
      </w:divBdr>
    </w:div>
    <w:div w:id="1880236152">
      <w:bodyDiv w:val="1"/>
      <w:marLeft w:val="0"/>
      <w:marRight w:val="0"/>
      <w:marTop w:val="0"/>
      <w:marBottom w:val="0"/>
      <w:divBdr>
        <w:top w:val="none" w:sz="0" w:space="0" w:color="auto"/>
        <w:left w:val="none" w:sz="0" w:space="0" w:color="auto"/>
        <w:bottom w:val="none" w:sz="0" w:space="0" w:color="auto"/>
        <w:right w:val="none" w:sz="0" w:space="0" w:color="auto"/>
      </w:divBdr>
    </w:div>
    <w:div w:id="1880782203">
      <w:bodyDiv w:val="1"/>
      <w:marLeft w:val="0"/>
      <w:marRight w:val="0"/>
      <w:marTop w:val="0"/>
      <w:marBottom w:val="0"/>
      <w:divBdr>
        <w:top w:val="none" w:sz="0" w:space="0" w:color="auto"/>
        <w:left w:val="none" w:sz="0" w:space="0" w:color="auto"/>
        <w:bottom w:val="none" w:sz="0" w:space="0" w:color="auto"/>
        <w:right w:val="none" w:sz="0" w:space="0" w:color="auto"/>
      </w:divBdr>
    </w:div>
    <w:div w:id="1927760315">
      <w:bodyDiv w:val="1"/>
      <w:marLeft w:val="0"/>
      <w:marRight w:val="0"/>
      <w:marTop w:val="0"/>
      <w:marBottom w:val="0"/>
      <w:divBdr>
        <w:top w:val="none" w:sz="0" w:space="0" w:color="auto"/>
        <w:left w:val="none" w:sz="0" w:space="0" w:color="auto"/>
        <w:bottom w:val="none" w:sz="0" w:space="0" w:color="auto"/>
        <w:right w:val="none" w:sz="0" w:space="0" w:color="auto"/>
      </w:divBdr>
    </w:div>
    <w:div w:id="1986931981">
      <w:bodyDiv w:val="1"/>
      <w:marLeft w:val="0"/>
      <w:marRight w:val="0"/>
      <w:marTop w:val="0"/>
      <w:marBottom w:val="0"/>
      <w:divBdr>
        <w:top w:val="none" w:sz="0" w:space="0" w:color="auto"/>
        <w:left w:val="none" w:sz="0" w:space="0" w:color="auto"/>
        <w:bottom w:val="none" w:sz="0" w:space="0" w:color="auto"/>
        <w:right w:val="none" w:sz="0" w:space="0" w:color="auto"/>
      </w:divBdr>
    </w:div>
    <w:div w:id="2036808373">
      <w:bodyDiv w:val="1"/>
      <w:marLeft w:val="0"/>
      <w:marRight w:val="0"/>
      <w:marTop w:val="0"/>
      <w:marBottom w:val="0"/>
      <w:divBdr>
        <w:top w:val="none" w:sz="0" w:space="0" w:color="auto"/>
        <w:left w:val="none" w:sz="0" w:space="0" w:color="auto"/>
        <w:bottom w:val="none" w:sz="0" w:space="0" w:color="auto"/>
        <w:right w:val="none" w:sz="0" w:space="0" w:color="auto"/>
      </w:divBdr>
    </w:div>
    <w:div w:id="2039352709">
      <w:bodyDiv w:val="1"/>
      <w:marLeft w:val="0"/>
      <w:marRight w:val="0"/>
      <w:marTop w:val="0"/>
      <w:marBottom w:val="0"/>
      <w:divBdr>
        <w:top w:val="none" w:sz="0" w:space="0" w:color="auto"/>
        <w:left w:val="none" w:sz="0" w:space="0" w:color="auto"/>
        <w:bottom w:val="none" w:sz="0" w:space="0" w:color="auto"/>
        <w:right w:val="none" w:sz="0" w:space="0" w:color="auto"/>
      </w:divBdr>
    </w:div>
    <w:div w:id="2047023853">
      <w:bodyDiv w:val="1"/>
      <w:marLeft w:val="0"/>
      <w:marRight w:val="0"/>
      <w:marTop w:val="0"/>
      <w:marBottom w:val="0"/>
      <w:divBdr>
        <w:top w:val="none" w:sz="0" w:space="0" w:color="auto"/>
        <w:left w:val="none" w:sz="0" w:space="0" w:color="auto"/>
        <w:bottom w:val="none" w:sz="0" w:space="0" w:color="auto"/>
        <w:right w:val="none" w:sz="0" w:space="0" w:color="auto"/>
      </w:divBdr>
    </w:div>
    <w:div w:id="2111199221">
      <w:bodyDiv w:val="1"/>
      <w:marLeft w:val="0"/>
      <w:marRight w:val="0"/>
      <w:marTop w:val="0"/>
      <w:marBottom w:val="0"/>
      <w:divBdr>
        <w:top w:val="none" w:sz="0" w:space="0" w:color="auto"/>
        <w:left w:val="none" w:sz="0" w:space="0" w:color="auto"/>
        <w:bottom w:val="none" w:sz="0" w:space="0" w:color="auto"/>
        <w:right w:val="none" w:sz="0" w:space="0" w:color="auto"/>
      </w:divBdr>
    </w:div>
    <w:div w:id="2137872310">
      <w:bodyDiv w:val="1"/>
      <w:marLeft w:val="0"/>
      <w:marRight w:val="0"/>
      <w:marTop w:val="0"/>
      <w:marBottom w:val="0"/>
      <w:divBdr>
        <w:top w:val="none" w:sz="0" w:space="0" w:color="auto"/>
        <w:left w:val="none" w:sz="0" w:space="0" w:color="auto"/>
        <w:bottom w:val="none" w:sz="0" w:space="0" w:color="auto"/>
        <w:right w:val="none" w:sz="0" w:space="0" w:color="auto"/>
      </w:divBdr>
    </w:div>
    <w:div w:id="2139099984">
      <w:bodyDiv w:val="1"/>
      <w:marLeft w:val="0"/>
      <w:marRight w:val="0"/>
      <w:marTop w:val="0"/>
      <w:marBottom w:val="0"/>
      <w:divBdr>
        <w:top w:val="none" w:sz="0" w:space="0" w:color="auto"/>
        <w:left w:val="none" w:sz="0" w:space="0" w:color="auto"/>
        <w:bottom w:val="none" w:sz="0" w:space="0" w:color="auto"/>
        <w:right w:val="none" w:sz="0" w:space="0" w:color="auto"/>
      </w:divBdr>
      <w:divsChild>
        <w:div w:id="1022979633">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168596089">
              <w:marLeft w:val="0"/>
              <w:marRight w:val="0"/>
              <w:marTop w:val="0"/>
              <w:marBottom w:val="0"/>
              <w:divBdr>
                <w:top w:val="none" w:sz="0" w:space="0" w:color="auto"/>
                <w:left w:val="none" w:sz="0" w:space="0" w:color="auto"/>
                <w:bottom w:val="none" w:sz="0" w:space="0" w:color="auto"/>
                <w:right w:val="none" w:sz="0" w:space="0" w:color="auto"/>
              </w:divBdr>
              <w:divsChild>
                <w:div w:id="1515457949">
                  <w:marLeft w:val="0"/>
                  <w:marRight w:val="0"/>
                  <w:marTop w:val="0"/>
                  <w:marBottom w:val="0"/>
                  <w:divBdr>
                    <w:top w:val="none" w:sz="0" w:space="0" w:color="auto"/>
                    <w:left w:val="none" w:sz="0" w:space="0" w:color="auto"/>
                    <w:bottom w:val="none" w:sz="0" w:space="0" w:color="auto"/>
                    <w:right w:val="none" w:sz="0" w:space="0" w:color="auto"/>
                  </w:divBdr>
                  <w:divsChild>
                    <w:div w:id="1862351722">
                      <w:blockQuote w:val="1"/>
                      <w:marLeft w:val="0"/>
                      <w:marRight w:val="0"/>
                      <w:marTop w:val="0"/>
                      <w:marBottom w:val="0"/>
                      <w:divBdr>
                        <w:top w:val="none" w:sz="0" w:space="0" w:color="auto"/>
                        <w:left w:val="single" w:sz="12" w:space="5" w:color="1010FF"/>
                        <w:bottom w:val="none" w:sz="0" w:space="0" w:color="auto"/>
                        <w:right w:val="none" w:sz="0" w:space="0" w:color="auto"/>
                      </w:divBdr>
                      <w:divsChild>
                        <w:div w:id="1761946189">
                          <w:marLeft w:val="0"/>
                          <w:marRight w:val="0"/>
                          <w:marTop w:val="0"/>
                          <w:marBottom w:val="0"/>
                          <w:divBdr>
                            <w:top w:val="none" w:sz="0" w:space="0" w:color="auto"/>
                            <w:left w:val="none" w:sz="0" w:space="0" w:color="auto"/>
                            <w:bottom w:val="none" w:sz="0" w:space="0" w:color="auto"/>
                            <w:right w:val="none" w:sz="0" w:space="0" w:color="auto"/>
                          </w:divBdr>
                          <w:divsChild>
                            <w:div w:id="163925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footer" Target="footer1.xml"/><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hyperlink" Target="https://www.open-asso.org/parents-enfants-numerique-2024-rapport-de-letude/" TargetMode="External"/><Relationship Id="rId16" Type="http://schemas.openxmlformats.org/officeDocument/2006/relationships/image" Target="media/image9.png"/><Relationship Id="rId107" Type="http://schemas.openxmlformats.org/officeDocument/2006/relationships/hyperlink" Target="https://doi.org/10.1515/reveh-2024-0069" TargetMode="External"/><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hyperlink" Target="https://www.anses.fr/fr/system/files/CHIM2009sa0331Ra-0.pdf" TargetMode="External"/><Relationship Id="rId110" Type="http://schemas.openxmlformats.org/officeDocument/2006/relationships/hyperlink" Target="https://theses.hal.science/tel-00977980/document" TargetMode="External"/><Relationship Id="rId115" Type="http://schemas.openxmlformats.org/officeDocument/2006/relationships/hyperlink" Target="https://doi.org/10.3390/ijms22073772" TargetMode="Externa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hyperlink" Target="https://theses.hal.science/tel-00977980/document" TargetMode="External"/><Relationship Id="rId14" Type="http://schemas.openxmlformats.org/officeDocument/2006/relationships/image" Target="media/image7.png"/><Relationship Id="rId22" Type="http://schemas.openxmlformats.org/officeDocument/2006/relationships/hyperlink" Target="https://www.itu.int/fr/ITU-R/information/Pages/default.aspx" TargetMode="External"/><Relationship Id="rId27" Type="http://schemas.openxmlformats.org/officeDocument/2006/relationships/hyperlink" Target="http://www.cartoradio.fr" TargetMode="Externa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hyperlink" Target="https://ekladata.com/0X3ZQjFtiONV1pcxJVEn7p29E7w/Appel-international-du-11-Mai-2015-justifie.pdf?utm_source=chatgpt.com" TargetMode="External"/><Relationship Id="rId105" Type="http://schemas.openxmlformats.org/officeDocument/2006/relationships/hyperlink" Target="https://doi.org/10.1016/j.crhy.2013.02.004" TargetMode="External"/><Relationship Id="rId113" Type="http://schemas.openxmlformats.org/officeDocument/2006/relationships/hyperlink" Target="https://doi.org/10.1016/S0369-8114(02)00311-5" TargetMode="External"/><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hyperlink" Target="https://lelivrenoirdesondes.fr/wp-content/uploads/2021/01/fribourg.pdf"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techimike.com/cwna-chapter-7-wireless-in-all-the-areas/" TargetMode="External"/><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hyperlink" Target="https://pubmed.ncbi.nlm.nih.gov/38557178/" TargetMode="External"/><Relationship Id="rId108" Type="http://schemas.openxmlformats.org/officeDocument/2006/relationships/hyperlink" Target="https://wikiland.org/fr/Proceedings_of_the_Royal_Society_of_Medicine" TargetMode="External"/><Relationship Id="rId116" Type="http://schemas.openxmlformats.org/officeDocument/2006/relationships/hyperlink" Target="https://doi.org/10.1155/2016/1830262" TargetMode="External"/><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hyperlink" Target="https://doi.org/10.1016/j.neuro.2015.10.00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www.cartoradio.fr" TargetMode="External"/><Relationship Id="rId28" Type="http://schemas.openxmlformats.org/officeDocument/2006/relationships/hyperlink" Target="http://www.cartoradio.fr" TargetMode="External"/><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hyperlink" Target="https://apps.dtic.mil/sti/tr/pdf/AD0750271.pdf" TargetMode="External"/><Relationship Id="rId114" Type="http://schemas.openxmlformats.org/officeDocument/2006/relationships/hyperlink" Target="https://doi.org/10.1016/S0369-8114(03)00178-2" TargetMode="External"/><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hyperlink" Target="https://www.priartem.fr/IMG/pdf/Reykjavik_Appeal_170224.pdf" TargetMode="External"/><Relationship Id="rId101" Type="http://schemas.openxmlformats.org/officeDocument/2006/relationships/hyperlink" Target="https://www.anses.fr/fr/content/consultation-publique-anses-radiofrequences-cancer"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6.png"/><Relationship Id="rId109" Type="http://schemas.openxmlformats.org/officeDocument/2006/relationships/hyperlink" Target="https://doi.org/10.31018/jans.v5i1.296" TargetMode="Externa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hyperlink" Target="https://doi.org/10.1016/j.brainresbull.2024.111090" TargetMode="External"/><Relationship Id="rId104" Type="http://schemas.openxmlformats.org/officeDocument/2006/relationships/hyperlink" Target="https://doi.org/10.3390/radiation2040022"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png"/></Relationships>
</file>

<file path=word/_rels/footnotes.xml.rels><?xml version="1.0" encoding="UTF-8" standalone="yes"?>
<Relationships xmlns="http://schemas.openxmlformats.org/package/2006/relationships"><Relationship Id="rId8" Type="http://schemas.openxmlformats.org/officeDocument/2006/relationships/hyperlink" Target="https://www.researchgate.net/publication/321001434_Bioelectromagnetism_1_Introduction" TargetMode="External"/><Relationship Id="rId13" Type="http://schemas.openxmlformats.org/officeDocument/2006/relationships/hyperlink" Target="https://www.ericsson.com/en/about-us/history/company/timeline-placeholder/timeline-1956-mobile-telephony-awakens" TargetMode="External"/><Relationship Id="rId18" Type="http://schemas.openxmlformats.org/officeDocument/2006/relationships/hyperlink" Target="https://www.arcep.fr/uploads/tx_gspublication/barometre-du-numerique_edition_2025_RAPPORT_mars2025.pdf" TargetMode="External"/><Relationship Id="rId26" Type="http://schemas.openxmlformats.org/officeDocument/2006/relationships/hyperlink" Target="https://www.academie-medecine.fr/reduire-lexposition-aux-ondes-des-antennes-relais-nest-pas-justifie-scientifiquement/" TargetMode="External"/><Relationship Id="rId39" Type="http://schemas.openxmlformats.org/officeDocument/2006/relationships/hyperlink" Target="https://reporterre.net/Philippe-Bihouix-Dans-le-futur-nous-serons-fiers-de-savoir-reparer-les-objets?utm_source=newsletter&amp;utm_medium=email&amp;utm_campaign=nl_hebdomadaire" TargetMode="External"/><Relationship Id="rId3" Type="http://schemas.openxmlformats.org/officeDocument/2006/relationships/hyperlink" Target="https://www.anfr.fr/anfr/cest-quoi-le-spectre-des-frequences" TargetMode="External"/><Relationship Id="rId21" Type="http://schemas.openxmlformats.org/officeDocument/2006/relationships/hyperlink" Target="https://www.loire-atlantique.fr/44/numerique/le-plan-numerique-des-colleges-2022-2029-modernisation-des-infrastructures-et-des-equipements/c_1415474" TargetMode="External"/><Relationship Id="rId34" Type="http://schemas.openxmlformats.org/officeDocument/2006/relationships/hyperlink" Target="https://www.mesopinions.com/petition/sante/lieux-vie-onde-electrohypersensibles-sante/218235" TargetMode="External"/><Relationship Id="rId42" Type="http://schemas.openxmlformats.org/officeDocument/2006/relationships/hyperlink" Target="https://hal.science/tel-01459679v1/file/Mod%C3%A9lisation%20%C3%89lectromagn%C3%A9tique%20du%20Ph%C3%A9nom%C3%A8ne%20d%E2%80%99Interaction%20des%20Ondes%20GSM%20avec%20la%20T%C3%AAte%20Humaine%20par%20la%20M%C3%A9thode%20des%20Circuits%20%C3%89quivalents%20G%C3%A9n%C3%A9ralis%C3%A9s%20%28MoM-GEC%29%20dans%20un%20milieu%20ferm%C3%A9%20%281%29.pdf" TargetMode="External"/><Relationship Id="rId7" Type="http://schemas.openxmlformats.org/officeDocument/2006/relationships/hyperlink" Target="https://www.ineris.fr/fr/risques/dossiers-thematiques/evaluer-exposition-champs-electomagnetiques/exposition" TargetMode="External"/><Relationship Id="rId12" Type="http://schemas.openxmlformats.org/officeDocument/2006/relationships/hyperlink" Target="https://www.ineris.fr/fr/risques/dossiers-thematiques/evaluer-exposition-champs-electomagnetiques/exposition" TargetMode="External"/><Relationship Id="rId17" Type="http://schemas.openxmlformats.org/officeDocument/2006/relationships/hyperlink" Target="https://www.bing.com/videos/riverview/relatedvideo?q=leif%20salford%20youtube&amp;mid=3B406C258981DF519B5B3B406C258981DF519B5B&amp;ajaxhist=0" TargetMode="External"/><Relationship Id="rId25" Type="http://schemas.openxmlformats.org/officeDocument/2006/relationships/hyperlink" Target="https://reptox.cnesst.gouv.qc.ca/toxicologie/notions-toxicologie/Pages/08-comment-evaluer-effet-toxique.aspx" TargetMode="External"/><Relationship Id="rId33" Type="http://schemas.openxmlformats.org/officeDocument/2006/relationships/hyperlink" Target="https://ehs.hypotheses.org/" TargetMode="External"/><Relationship Id="rId38" Type="http://schemas.openxmlformats.org/officeDocument/2006/relationships/hyperlink" Target="https://theconversation.com/smartphones-pourquoi-vos-enfants-ont-tant-de-mal-a-se-deconnecter-179966" TargetMode="External"/><Relationship Id="rId2" Type="http://schemas.openxmlformats.org/officeDocument/2006/relationships/hyperlink" Target="https://www.anfr.fr/anfr/cest-quoi-le-spectre-des-frequences" TargetMode="External"/><Relationship Id="rId16" Type="http://schemas.openxmlformats.org/officeDocument/2006/relationships/hyperlink" Target="https://eduscol.education.fr/1083/referentiel-wi-fi" TargetMode="External"/><Relationship Id="rId20" Type="http://schemas.openxmlformats.org/officeDocument/2006/relationships/hyperlink" Target="https://www.anfr.fr/gestion-des-frequences-sites/lobservatoire/?utm_source=chatgpt.com" TargetMode="External"/><Relationship Id="rId29" Type="http://schemas.openxmlformats.org/officeDocument/2006/relationships/hyperlink" Target="https://shiny.ens-paris-saclay.fr/app_direct/gallicagram/" TargetMode="External"/><Relationship Id="rId41" Type="http://schemas.openxmlformats.org/officeDocument/2006/relationships/hyperlink" Target="https://blogs.univ-poitiers.fr/f-launay/tag/ondes/" TargetMode="External"/><Relationship Id="rId1" Type="http://schemas.openxmlformats.org/officeDocument/2006/relationships/hyperlink" Target="https://www.lepoint.fr/sante/un-80e-organe-decouvert-dans-le-corps-humain-28-03-2018-2206327_40.php" TargetMode="External"/><Relationship Id="rId6" Type="http://schemas.openxmlformats.org/officeDocument/2006/relationships/hyperlink" Target="https://hal.science/tel-01459679v1/file/Mod%C3%A9lisation%20%C3%89lectromagn%C3%A9tique%20du%20Ph%C3%A9nom%C3%A8ne%20d%E2%80%99Interaction%20des%20Ondes%20GSM%20avec%20la%20T%C3%AAte%20Humaine%20par%20la%20M%C3%A9thode%20des%20Circuits%20%C3%89quivalents%20G%C3%A9n%C3%A9ralis%C3%A9s%20%28MoM-GEC%29%20dans%20un%20milieu%20ferm%C3%A9%20%281%29.pdf" TargetMode="External"/><Relationship Id="rId11" Type="http://schemas.openxmlformats.org/officeDocument/2006/relationships/hyperlink" Target="https://www.ericsson.com/en/about-us/history/company/timeline-placeholder/timeline-1956-mobile-telephony-awakens" TargetMode="External"/><Relationship Id="rId24" Type="http://schemas.openxmlformats.org/officeDocument/2006/relationships/hyperlink" Target="https://fr.wikipedia.org/wiki/Acide_%CE%B3-aminobutyrique" TargetMode="External"/><Relationship Id="rId32" Type="http://schemas.openxmlformats.org/officeDocument/2006/relationships/hyperlink" Target="https://www.info.gouv.fr/communique/plan-mayotte-debout" TargetMode="External"/><Relationship Id="rId37" Type="http://schemas.openxmlformats.org/officeDocument/2006/relationships/hyperlink" Target="https://www.lemonde.fr/idees/article/2023/03/06/francois-dedieu-sociologue-la-toxicologie-reglementaire-reste-aveugle-a-une-diversite-d-effets-possibles-des-pesticides_6164385_3232.html" TargetMode="External"/><Relationship Id="rId40" Type="http://schemas.openxmlformats.org/officeDocument/2006/relationships/hyperlink" Target="https://www.inrs.fr/risques/champs-electromagnetiques/ce-qu-il-faut-retenir.html" TargetMode="External"/><Relationship Id="rId45" Type="http://schemas.openxmlformats.org/officeDocument/2006/relationships/hyperlink" Target="https://www.anses.fr/fr/system/files/CHIM2009sa0331Ra-0.pdf" TargetMode="External"/><Relationship Id="rId5" Type="http://schemas.openxmlformats.org/officeDocument/2006/relationships/hyperlink" Target="https://www.rte-france.com/riverains/quest-ce-quun-champ-electromagnetique" TargetMode="External"/><Relationship Id="rId15" Type="http://schemas.openxmlformats.org/officeDocument/2006/relationships/hyperlink" Target="https://www.arcep.fr/la-regulation/grands-dossiers-reseaux-mobiles/la-4g/les-grandes-dates-de-la-4g.html" TargetMode="External"/><Relationship Id="rId23" Type="http://schemas.openxmlformats.org/officeDocument/2006/relationships/hyperlink" Target="https://www.paysdelaloire.fr/jeunesse-et-education/un-ordinateur-portable-fourni-par-la-region-aux-eleves-de-seconde-et-1ere-annee-de-cap?utm_source=chatgpt.com" TargetMode="External"/><Relationship Id="rId28" Type="http://schemas.openxmlformats.org/officeDocument/2006/relationships/hyperlink" Target="https://www.anses.fr/fr/system/files/AP2011SA0150Ra.pdf" TargetMode="External"/><Relationship Id="rId36" Type="http://schemas.openxmlformats.org/officeDocument/2006/relationships/hyperlink" Target="https://www.youtube.com/watch?v=leNHKxR1XDo" TargetMode="External"/><Relationship Id="rId10" Type="http://schemas.openxmlformats.org/officeDocument/2006/relationships/hyperlink" Target="https://www.mobilophiles.com/2016/01/l-histoire-du-telephone-portable-rappelez-vous-retour-sur-plus-d-un-siecle-d-evolution.html" TargetMode="External"/><Relationship Id="rId19" Type="http://schemas.openxmlformats.org/officeDocument/2006/relationships/hyperlink" Target="https://www.open-asso.org/parents-enfants-numerique-2024-rapport-de-letude/" TargetMode="External"/><Relationship Id="rId31" Type="http://schemas.openxmlformats.org/officeDocument/2006/relationships/hyperlink" Target="https://www.banquedesterritoires.fr/sites/default/files/2018-12/2018-08-Guide%20Wifi%20territorial-web.pdf" TargetMode="External"/><Relationship Id="rId44" Type="http://schemas.openxmlformats.org/officeDocument/2006/relationships/hyperlink" Target="https://www.anses.fr/fr/system/files/CHIM2009sa0331Ra-0.pdf" TargetMode="External"/><Relationship Id="rId4" Type="http://schemas.openxmlformats.org/officeDocument/2006/relationships/hyperlink" Target="https://www.anses.fr/fr/system/files/CDLR-mg-RadiofrequencesetSante20.pdf" TargetMode="External"/><Relationship Id="rId9" Type="http://schemas.openxmlformats.org/officeDocument/2006/relationships/hyperlink" Target="https://www.bing.com/videos/riverview/relatedvideo?q=leif%20salford%20youtube&amp;mid=3B406C258981DF519B5B3B406C258981DF519B5B&amp;ajaxhist=0" TargetMode="External"/><Relationship Id="rId14" Type="http://schemas.openxmlformats.org/officeDocument/2006/relationships/hyperlink" Target="https://fr.wikipedia.org/wiki/Four_%C3%A0_micro-ondes" TargetMode="External"/><Relationship Id="rId22" Type="http://schemas.openxmlformats.org/officeDocument/2006/relationships/hyperlink" Target="https://www.moselle.fr/jcms/pl_32179/fr/des-colleges-connectes-des-apprentissages-facilites" TargetMode="External"/><Relationship Id="rId27" Type="http://schemas.openxmlformats.org/officeDocument/2006/relationships/hyperlink" Target="https://www.vie-publique.fr/rapport/33558-radiofrequences-et-sante-mise-jour-de-lexpertise" TargetMode="External"/><Relationship Id="rId30" Type="http://schemas.openxmlformats.org/officeDocument/2006/relationships/hyperlink" Target="https://www.legifrance.gouv.fr/download/pdf?id=lzXoJr2UDnLBvVYpq2zxJL0b44nCT_x74HgoJW7H6dA=" TargetMode="External"/><Relationship Id="rId35" Type="http://schemas.openxmlformats.org/officeDocument/2006/relationships/hyperlink" Target="https://wiki.priartem.fr/lib/exe/fetch.php/ehs:dossier_de_presse:appel_des_canaris_-_ondes_et_sant%C3%A9_nous_alertons.pdf" TargetMode="External"/><Relationship Id="rId43" Type="http://schemas.openxmlformats.org/officeDocument/2006/relationships/hyperlink" Target="https://www.ineris.fr/fr/risques/dossiers-thematiques/evaluer-exposition-champs-electomagnetiques/exposition"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6698D2-F50E-4234-AE44-CF406FAA0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23456</Words>
  <Characters>129012</Characters>
  <Application>Microsoft Office Word</Application>
  <DocSecurity>0</DocSecurity>
  <Lines>1075</Lines>
  <Paragraphs>304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152164</CharactersWithSpaces>
  <SharedDoc>false</SharedDoc>
  <HLinks>
    <vt:vector size="1614" baseType="variant">
      <vt:variant>
        <vt:i4>1572887</vt:i4>
      </vt:variant>
      <vt:variant>
        <vt:i4>696</vt:i4>
      </vt:variant>
      <vt:variant>
        <vt:i4>0</vt:i4>
      </vt:variant>
      <vt:variant>
        <vt:i4>5</vt:i4>
      </vt:variant>
      <vt:variant>
        <vt:lpwstr>https://www.sudouest.fr/sciences-et-technologie/dix-a-cent-fois-plus-performante-que-la-5g-des-chercheurs-bordelais-developpent-une-puce-6g-23708522.php</vt:lpwstr>
      </vt:variant>
      <vt:variant>
        <vt:lpwstr/>
      </vt:variant>
      <vt:variant>
        <vt:i4>2097195</vt:i4>
      </vt:variant>
      <vt:variant>
        <vt:i4>693</vt:i4>
      </vt:variant>
      <vt:variant>
        <vt:i4>0</vt:i4>
      </vt:variant>
      <vt:variant>
        <vt:i4>5</vt:i4>
      </vt:variant>
      <vt:variant>
        <vt:lpwstr>https://onlinelibrary.wiley.com/doi/epdf/10.1002/bem.22484</vt:lpwstr>
      </vt:variant>
      <vt:variant>
        <vt:lpwstr/>
      </vt:variant>
      <vt:variant>
        <vt:i4>8323131</vt:i4>
      </vt:variant>
      <vt:variant>
        <vt:i4>690</vt:i4>
      </vt:variant>
      <vt:variant>
        <vt:i4>0</vt:i4>
      </vt:variant>
      <vt:variant>
        <vt:i4>5</vt:i4>
      </vt:variant>
      <vt:variant>
        <vt:lpwstr>https://pubmed.ncbi.nlm.nih.gov/37807247/</vt:lpwstr>
      </vt:variant>
      <vt:variant>
        <vt:lpwstr>full-view-affiliation-1</vt:lpwstr>
      </vt:variant>
      <vt:variant>
        <vt:i4>852050</vt:i4>
      </vt:variant>
      <vt:variant>
        <vt:i4>687</vt:i4>
      </vt:variant>
      <vt:variant>
        <vt:i4>0</vt:i4>
      </vt:variant>
      <vt:variant>
        <vt:i4>5</vt:i4>
      </vt:variant>
      <vt:variant>
        <vt:lpwstr>https://icbe-emf.org/special-experts/emeriti-members/</vt:lpwstr>
      </vt:variant>
      <vt:variant>
        <vt:lpwstr/>
      </vt:variant>
      <vt:variant>
        <vt:i4>65538</vt:i4>
      </vt:variant>
      <vt:variant>
        <vt:i4>684</vt:i4>
      </vt:variant>
      <vt:variant>
        <vt:i4>0</vt:i4>
      </vt:variant>
      <vt:variant>
        <vt:i4>5</vt:i4>
      </vt:variant>
      <vt:variant>
        <vt:lpwstr>https://pubmed.ncbi.nlm.nih.gov/38104437/</vt:lpwstr>
      </vt:variant>
      <vt:variant>
        <vt:lpwstr/>
      </vt:variant>
      <vt:variant>
        <vt:i4>7536707</vt:i4>
      </vt:variant>
      <vt:variant>
        <vt:i4>681</vt:i4>
      </vt:variant>
      <vt:variant>
        <vt:i4>0</vt:i4>
      </vt:variant>
      <vt:variant>
        <vt:i4>5</vt:i4>
      </vt:variant>
      <vt:variant>
        <vt:lpwstr>https://www.researchgate.net/publication/382267243_A_critical_appraisal_of_the_WHO_2024_systematic_review_of_the_effects_of_RF-EMF_exposure_on_tinnitus_migraineheadache_and_non-specific_symptoms</vt:lpwstr>
      </vt:variant>
      <vt:variant>
        <vt:lpwstr/>
      </vt:variant>
      <vt:variant>
        <vt:i4>196623</vt:i4>
      </vt:variant>
      <vt:variant>
        <vt:i4>678</vt:i4>
      </vt:variant>
      <vt:variant>
        <vt:i4>0</vt:i4>
      </vt:variant>
      <vt:variant>
        <vt:i4>5</vt:i4>
      </vt:variant>
      <vt:variant>
        <vt:lpwstr>https://link.springer.com/article/10.1007/s11356-019-06278-5</vt:lpwstr>
      </vt:variant>
      <vt:variant>
        <vt:lpwstr/>
      </vt:variant>
      <vt:variant>
        <vt:i4>6946918</vt:i4>
      </vt:variant>
      <vt:variant>
        <vt:i4>675</vt:i4>
      </vt:variant>
      <vt:variant>
        <vt:i4>0</vt:i4>
      </vt:variant>
      <vt:variant>
        <vt:i4>5</vt:i4>
      </vt:variant>
      <vt:variant>
        <vt:lpwstr>https://www.bing.com/search?q=%22Radiofrequency%20electromagnetic%20radiation-induced%20behavioral%20changes%20and%20their%20possible%20basis%22&amp;qs=n&amp;form=QBRE&amp;sp=-1&amp;lq=1&amp;pq=%22radiofrequency%20electromagnetic%20radiation-induced%20behavioral%20changes%20and%20their%20possible%20basis%22&amp;sc=1-94&amp;sk=&amp;cvid=43EFE2ECD82845FFA2715114C6ABA005&amp;ghsh=0&amp;ghacc=0&amp;ghpl=</vt:lpwstr>
      </vt:variant>
      <vt:variant>
        <vt:lpwstr/>
      </vt:variant>
      <vt:variant>
        <vt:i4>1376278</vt:i4>
      </vt:variant>
      <vt:variant>
        <vt:i4>672</vt:i4>
      </vt:variant>
      <vt:variant>
        <vt:i4>0</vt:i4>
      </vt:variant>
      <vt:variant>
        <vt:i4>5</vt:i4>
      </vt:variant>
      <vt:variant>
        <vt:lpwstr>https://pmc.ncbi.nlm.nih.gov/articles/PMC8225220/</vt:lpwstr>
      </vt:variant>
      <vt:variant>
        <vt:lpwstr/>
      </vt:variant>
      <vt:variant>
        <vt:i4>7274543</vt:i4>
      </vt:variant>
      <vt:variant>
        <vt:i4>669</vt:i4>
      </vt:variant>
      <vt:variant>
        <vt:i4>0</vt:i4>
      </vt:variant>
      <vt:variant>
        <vt:i4>5</vt:i4>
      </vt:variant>
      <vt:variant>
        <vt:lpwstr>https://icbe-emf.org/wp-content/uploads/2022/09/Kesari.publications.pdf</vt:lpwstr>
      </vt:variant>
      <vt:variant>
        <vt:lpwstr/>
      </vt:variant>
      <vt:variant>
        <vt:i4>2293823</vt:i4>
      </vt:variant>
      <vt:variant>
        <vt:i4>666</vt:i4>
      </vt:variant>
      <vt:variant>
        <vt:i4>0</vt:i4>
      </vt:variant>
      <vt:variant>
        <vt:i4>5</vt:i4>
      </vt:variant>
      <vt:variant>
        <vt:lpwstr>https://www.radiofrance.fr/franceculture/podcasts/les-nuits-de-france-culture/terre-a-terre-les-lanceurs-d-alerte-1ere-diffusion-22-04-2006-6120679</vt:lpwstr>
      </vt:variant>
      <vt:variant>
        <vt:lpwstr/>
      </vt:variant>
      <vt:variant>
        <vt:i4>851996</vt:i4>
      </vt:variant>
      <vt:variant>
        <vt:i4>663</vt:i4>
      </vt:variant>
      <vt:variant>
        <vt:i4>0</vt:i4>
      </vt:variant>
      <vt:variant>
        <vt:i4>5</vt:i4>
      </vt:variant>
      <vt:variant>
        <vt:lpwstr>https://www.tandfonline.com/doi/abs/10.1080/00222739.1971.11688805?src=recsys</vt:lpwstr>
      </vt:variant>
      <vt:variant>
        <vt:lpwstr/>
      </vt:variant>
      <vt:variant>
        <vt:i4>262165</vt:i4>
      </vt:variant>
      <vt:variant>
        <vt:i4>660</vt:i4>
      </vt:variant>
      <vt:variant>
        <vt:i4>0</vt:i4>
      </vt:variant>
      <vt:variant>
        <vt:i4>5</vt:i4>
      </vt:variant>
      <vt:variant>
        <vt:lpwstr>https://www.tandfonline.com/doi/abs/10.1080/00022470.1974.10469899?src=recsys</vt:lpwstr>
      </vt:variant>
      <vt:variant>
        <vt:lpwstr/>
      </vt:variant>
      <vt:variant>
        <vt:i4>983127</vt:i4>
      </vt:variant>
      <vt:variant>
        <vt:i4>657</vt:i4>
      </vt:variant>
      <vt:variant>
        <vt:i4>0</vt:i4>
      </vt:variant>
      <vt:variant>
        <vt:i4>5</vt:i4>
      </vt:variant>
      <vt:variant>
        <vt:lpwstr>https://www.anses.fr/fr/content/appel-candidatures-dexperts-scientifiques-pour-constituer-un-groupe-de-travail-gt-valeurs</vt:lpwstr>
      </vt:variant>
      <vt:variant>
        <vt:lpwstr/>
      </vt:variant>
      <vt:variant>
        <vt:i4>786510</vt:i4>
      </vt:variant>
      <vt:variant>
        <vt:i4>654</vt:i4>
      </vt:variant>
      <vt:variant>
        <vt:i4>0</vt:i4>
      </vt:variant>
      <vt:variant>
        <vt:i4>5</vt:i4>
      </vt:variant>
      <vt:variant>
        <vt:lpwstr>https://pubmed.ncbi.nlm.nih.gov/?term=Yakymenko+I</vt:lpwstr>
      </vt:variant>
      <vt:variant>
        <vt:lpwstr/>
      </vt:variant>
      <vt:variant>
        <vt:i4>7274541</vt:i4>
      </vt:variant>
      <vt:variant>
        <vt:i4>651</vt:i4>
      </vt:variant>
      <vt:variant>
        <vt:i4>0</vt:i4>
      </vt:variant>
      <vt:variant>
        <vt:i4>5</vt:i4>
      </vt:variant>
      <vt:variant>
        <vt:lpwstr>https://pubmed.ncbi.nlm.nih.gov/?term=Sun+W</vt:lpwstr>
      </vt:variant>
      <vt:variant>
        <vt:lpwstr/>
      </vt:variant>
      <vt:variant>
        <vt:i4>7340088</vt:i4>
      </vt:variant>
      <vt:variant>
        <vt:i4>648</vt:i4>
      </vt:variant>
      <vt:variant>
        <vt:i4>0</vt:i4>
      </vt:variant>
      <vt:variant>
        <vt:i4>5</vt:i4>
      </vt:variant>
      <vt:variant>
        <vt:lpwstr>https://pubmed.ncbi.nlm.nih.gov/?term=Moskowitz+JM</vt:lpwstr>
      </vt:variant>
      <vt:variant>
        <vt:lpwstr/>
      </vt:variant>
      <vt:variant>
        <vt:i4>2556031</vt:i4>
      </vt:variant>
      <vt:variant>
        <vt:i4>645</vt:i4>
      </vt:variant>
      <vt:variant>
        <vt:i4>0</vt:i4>
      </vt:variant>
      <vt:variant>
        <vt:i4>5</vt:i4>
      </vt:variant>
      <vt:variant>
        <vt:lpwstr>https://pubmed.ncbi.nlm.nih.gov/?term=Miller+A</vt:lpwstr>
      </vt:variant>
      <vt:variant>
        <vt:lpwstr/>
      </vt:variant>
      <vt:variant>
        <vt:i4>1966145</vt:i4>
      </vt:variant>
      <vt:variant>
        <vt:i4>642</vt:i4>
      </vt:variant>
      <vt:variant>
        <vt:i4>0</vt:i4>
      </vt:variant>
      <vt:variant>
        <vt:i4>5</vt:i4>
      </vt:variant>
      <vt:variant>
        <vt:lpwstr>https://pubmed.ncbi.nlm.nih.gov/?term=Melnick+RL</vt:lpwstr>
      </vt:variant>
      <vt:variant>
        <vt:lpwstr/>
      </vt:variant>
      <vt:variant>
        <vt:i4>8061045</vt:i4>
      </vt:variant>
      <vt:variant>
        <vt:i4>639</vt:i4>
      </vt:variant>
      <vt:variant>
        <vt:i4>0</vt:i4>
      </vt:variant>
      <vt:variant>
        <vt:i4>5</vt:i4>
      </vt:variant>
      <vt:variant>
        <vt:lpwstr>https://pubmed.ncbi.nlm.nih.gov/?term=Mallery-Blythe+E</vt:lpwstr>
      </vt:variant>
      <vt:variant>
        <vt:lpwstr/>
      </vt:variant>
      <vt:variant>
        <vt:i4>3080316</vt:i4>
      </vt:variant>
      <vt:variant>
        <vt:i4>636</vt:i4>
      </vt:variant>
      <vt:variant>
        <vt:i4>0</vt:i4>
      </vt:variant>
      <vt:variant>
        <vt:i4>5</vt:i4>
      </vt:variant>
      <vt:variant>
        <vt:lpwstr>https://pubmed.ncbi.nlm.nih.gov/?term=Maisch+D</vt:lpwstr>
      </vt:variant>
      <vt:variant>
        <vt:lpwstr/>
      </vt:variant>
      <vt:variant>
        <vt:i4>3604593</vt:i4>
      </vt:variant>
      <vt:variant>
        <vt:i4>633</vt:i4>
      </vt:variant>
      <vt:variant>
        <vt:i4>0</vt:i4>
      </vt:variant>
      <vt:variant>
        <vt:i4>5</vt:i4>
      </vt:variant>
      <vt:variant>
        <vt:lpwstr>https://pubmed.ncbi.nlm.nih.gov/?term=Kesari+K</vt:lpwstr>
      </vt:variant>
      <vt:variant>
        <vt:lpwstr/>
      </vt:variant>
      <vt:variant>
        <vt:i4>2359417</vt:i4>
      </vt:variant>
      <vt:variant>
        <vt:i4>630</vt:i4>
      </vt:variant>
      <vt:variant>
        <vt:i4>0</vt:i4>
      </vt:variant>
      <vt:variant>
        <vt:i4>5</vt:i4>
      </vt:variant>
      <vt:variant>
        <vt:lpwstr>https://pubmed.ncbi.nlm.nih.gov/?term=Kelley+E</vt:lpwstr>
      </vt:variant>
      <vt:variant>
        <vt:lpwstr/>
      </vt:variant>
      <vt:variant>
        <vt:i4>6946864</vt:i4>
      </vt:variant>
      <vt:variant>
        <vt:i4>627</vt:i4>
      </vt:variant>
      <vt:variant>
        <vt:i4>0</vt:i4>
      </vt:variant>
      <vt:variant>
        <vt:i4>5</vt:i4>
      </vt:variant>
      <vt:variant>
        <vt:lpwstr>https://pubmed.ncbi.nlm.nih.gov/?term=H%C3%A9roux+P</vt:lpwstr>
      </vt:variant>
      <vt:variant>
        <vt:lpwstr/>
      </vt:variant>
      <vt:variant>
        <vt:i4>7536675</vt:i4>
      </vt:variant>
      <vt:variant>
        <vt:i4>624</vt:i4>
      </vt:variant>
      <vt:variant>
        <vt:i4>0</vt:i4>
      </vt:variant>
      <vt:variant>
        <vt:i4>5</vt:i4>
      </vt:variant>
      <vt:variant>
        <vt:lpwstr>https://pubmed.ncbi.nlm.nih.gov/?term=Hardell+L</vt:lpwstr>
      </vt:variant>
      <vt:variant>
        <vt:lpwstr/>
      </vt:variant>
      <vt:variant>
        <vt:i4>3145843</vt:i4>
      </vt:variant>
      <vt:variant>
        <vt:i4>621</vt:i4>
      </vt:variant>
      <vt:variant>
        <vt:i4>0</vt:i4>
      </vt:variant>
      <vt:variant>
        <vt:i4>5</vt:i4>
      </vt:variant>
      <vt:variant>
        <vt:lpwstr>https://pubmed.ncbi.nlm.nih.gov/?term=Fern%C3%A1ndez+C</vt:lpwstr>
      </vt:variant>
      <vt:variant>
        <vt:lpwstr/>
      </vt:variant>
      <vt:variant>
        <vt:i4>2097261</vt:i4>
      </vt:variant>
      <vt:variant>
        <vt:i4>618</vt:i4>
      </vt:variant>
      <vt:variant>
        <vt:i4>0</vt:i4>
      </vt:variant>
      <vt:variant>
        <vt:i4>5</vt:i4>
      </vt:variant>
      <vt:variant>
        <vt:lpwstr>https://pubmed.ncbi.nlm.nih.gov/?term=Dasdag+S</vt:lpwstr>
      </vt:variant>
      <vt:variant>
        <vt:lpwstr/>
      </vt:variant>
      <vt:variant>
        <vt:i4>4915205</vt:i4>
      </vt:variant>
      <vt:variant>
        <vt:i4>615</vt:i4>
      </vt:variant>
      <vt:variant>
        <vt:i4>0</vt:i4>
      </vt:variant>
      <vt:variant>
        <vt:i4>5</vt:i4>
      </vt:variant>
      <vt:variant>
        <vt:lpwstr>https://pubmed.ncbi.nlm.nih.gov/?term=DeSalles+A</vt:lpwstr>
      </vt:variant>
      <vt:variant>
        <vt:lpwstr/>
      </vt:variant>
      <vt:variant>
        <vt:i4>3670112</vt:i4>
      </vt:variant>
      <vt:variant>
        <vt:i4>612</vt:i4>
      </vt:variant>
      <vt:variant>
        <vt:i4>0</vt:i4>
      </vt:variant>
      <vt:variant>
        <vt:i4>5</vt:i4>
      </vt:variant>
      <vt:variant>
        <vt:lpwstr>https://pubmed.ncbi.nlm.nih.gov/?term=Chamberlin+K</vt:lpwstr>
      </vt:variant>
      <vt:variant>
        <vt:lpwstr/>
      </vt:variant>
      <vt:variant>
        <vt:i4>6160402</vt:i4>
      </vt:variant>
      <vt:variant>
        <vt:i4>609</vt:i4>
      </vt:variant>
      <vt:variant>
        <vt:i4>0</vt:i4>
      </vt:variant>
      <vt:variant>
        <vt:i4>5</vt:i4>
      </vt:variant>
      <vt:variant>
        <vt:lpwstr>https://pubmed.ncbi.nlm.nih.gov/?term=Blackman+C</vt:lpwstr>
      </vt:variant>
      <vt:variant>
        <vt:lpwstr/>
      </vt:variant>
      <vt:variant>
        <vt:i4>6488105</vt:i4>
      </vt:variant>
      <vt:variant>
        <vt:i4>606</vt:i4>
      </vt:variant>
      <vt:variant>
        <vt:i4>0</vt:i4>
      </vt:variant>
      <vt:variant>
        <vt:i4>5</vt:i4>
      </vt:variant>
      <vt:variant>
        <vt:lpwstr>https://pubmed.ncbi.nlm.nih.gov/?term=Belyaev+I</vt:lpwstr>
      </vt:variant>
      <vt:variant>
        <vt:lpwstr/>
      </vt:variant>
      <vt:variant>
        <vt:i4>4653076</vt:i4>
      </vt:variant>
      <vt:variant>
        <vt:i4>603</vt:i4>
      </vt:variant>
      <vt:variant>
        <vt:i4>0</vt:i4>
      </vt:variant>
      <vt:variant>
        <vt:i4>5</vt:i4>
      </vt:variant>
      <vt:variant>
        <vt:lpwstr>https://www.tandfonline.com/doi/abs/10.1080/10643387709381650?src=recsys</vt:lpwstr>
      </vt:variant>
      <vt:variant>
        <vt:lpwstr/>
      </vt:variant>
      <vt:variant>
        <vt:i4>7667740</vt:i4>
      </vt:variant>
      <vt:variant>
        <vt:i4>600</vt:i4>
      </vt:variant>
      <vt:variant>
        <vt:i4>0</vt:i4>
      </vt:variant>
      <vt:variant>
        <vt:i4>5</vt:i4>
      </vt:variant>
      <vt:variant>
        <vt:lpwstr>https://fr.wikipedia.org/wiki/%C3%89cotoxicologie</vt:lpwstr>
      </vt:variant>
      <vt:variant>
        <vt:lpwstr>cite_note-2</vt:lpwstr>
      </vt:variant>
      <vt:variant>
        <vt:i4>983136</vt:i4>
      </vt:variant>
      <vt:variant>
        <vt:i4>597</vt:i4>
      </vt:variant>
      <vt:variant>
        <vt:i4>0</vt:i4>
      </vt:variant>
      <vt:variant>
        <vt:i4>5</vt:i4>
      </vt:variant>
      <vt:variant>
        <vt:lpwstr>https://fr.wikipedia.org/wiki/Fran%C3%A7ois_Ramade</vt:lpwstr>
      </vt:variant>
      <vt:variant>
        <vt:lpwstr/>
      </vt:variant>
      <vt:variant>
        <vt:i4>5767238</vt:i4>
      </vt:variant>
      <vt:variant>
        <vt:i4>594</vt:i4>
      </vt:variant>
      <vt:variant>
        <vt:i4>0</vt:i4>
      </vt:variant>
      <vt:variant>
        <vt:i4>5</vt:i4>
      </vt:variant>
      <vt:variant>
        <vt:lpwstr>https://fr.wikipedia.org/w/index.php?title=%C3%89cotoxicologie&amp;action=edit&amp;section=1</vt:lpwstr>
      </vt:variant>
      <vt:variant>
        <vt:lpwstr/>
      </vt:variant>
      <vt:variant>
        <vt:i4>3014691</vt:i4>
      </vt:variant>
      <vt:variant>
        <vt:i4>591</vt:i4>
      </vt:variant>
      <vt:variant>
        <vt:i4>0</vt:i4>
      </vt:variant>
      <vt:variant>
        <vt:i4>5</vt:i4>
      </vt:variant>
      <vt:variant>
        <vt:lpwstr>https://fr.wikipedia.org/w/index.php?title=%C3%89cotoxicologie&amp;veaction=edit&amp;section=1</vt:lpwstr>
      </vt:variant>
      <vt:variant>
        <vt:lpwstr/>
      </vt:variant>
      <vt:variant>
        <vt:i4>7667740</vt:i4>
      </vt:variant>
      <vt:variant>
        <vt:i4>588</vt:i4>
      </vt:variant>
      <vt:variant>
        <vt:i4>0</vt:i4>
      </vt:variant>
      <vt:variant>
        <vt:i4>5</vt:i4>
      </vt:variant>
      <vt:variant>
        <vt:lpwstr>https://fr.wikipedia.org/wiki/%C3%89cotoxicologie</vt:lpwstr>
      </vt:variant>
      <vt:variant>
        <vt:lpwstr>cite_note-1</vt:lpwstr>
      </vt:variant>
      <vt:variant>
        <vt:i4>4653071</vt:i4>
      </vt:variant>
      <vt:variant>
        <vt:i4>585</vt:i4>
      </vt:variant>
      <vt:variant>
        <vt:i4>0</vt:i4>
      </vt:variant>
      <vt:variant>
        <vt:i4>5</vt:i4>
      </vt:variant>
      <vt:variant>
        <vt:lpwstr>https://fr.wikipedia.org/wiki/Biomarqueur</vt:lpwstr>
      </vt:variant>
      <vt:variant>
        <vt:lpwstr/>
      </vt:variant>
      <vt:variant>
        <vt:i4>4456489</vt:i4>
      </vt:variant>
      <vt:variant>
        <vt:i4>582</vt:i4>
      </vt:variant>
      <vt:variant>
        <vt:i4>0</vt:i4>
      </vt:variant>
      <vt:variant>
        <vt:i4>5</vt:i4>
      </vt:variant>
      <vt:variant>
        <vt:lpwstr>https://fr.wikipedia.org/wiki/Organisation_mondiale_de_la_sant%C3%A9_animale</vt:lpwstr>
      </vt:variant>
      <vt:variant>
        <vt:lpwstr/>
      </vt:variant>
      <vt:variant>
        <vt:i4>4718617</vt:i4>
      </vt:variant>
      <vt:variant>
        <vt:i4>579</vt:i4>
      </vt:variant>
      <vt:variant>
        <vt:i4>0</vt:i4>
      </vt:variant>
      <vt:variant>
        <vt:i4>5</vt:i4>
      </vt:variant>
      <vt:variant>
        <vt:lpwstr>https://fr.wikipedia.org/wiki/Organisation_mondiale_de_la_sant%C3%A9</vt:lpwstr>
      </vt:variant>
      <vt:variant>
        <vt:lpwstr/>
      </vt:variant>
      <vt:variant>
        <vt:i4>4128881</vt:i4>
      </vt:variant>
      <vt:variant>
        <vt:i4>576</vt:i4>
      </vt:variant>
      <vt:variant>
        <vt:i4>0</vt:i4>
      </vt:variant>
      <vt:variant>
        <vt:i4>5</vt:i4>
      </vt:variant>
      <vt:variant>
        <vt:lpwstr>https://fr.wikipedia.org/wiki/R%C3%A9sistance_aux_antibiotiques</vt:lpwstr>
      </vt:variant>
      <vt:variant>
        <vt:lpwstr/>
      </vt:variant>
      <vt:variant>
        <vt:i4>4390925</vt:i4>
      </vt:variant>
      <vt:variant>
        <vt:i4>573</vt:i4>
      </vt:variant>
      <vt:variant>
        <vt:i4>0</vt:i4>
      </vt:variant>
      <vt:variant>
        <vt:i4>5</vt:i4>
      </vt:variant>
      <vt:variant>
        <vt:lpwstr>https://fr.wikipedia.org/wiki/Zoonose</vt:lpwstr>
      </vt:variant>
      <vt:variant>
        <vt:lpwstr/>
      </vt:variant>
      <vt:variant>
        <vt:i4>4128874</vt:i4>
      </vt:variant>
      <vt:variant>
        <vt:i4>570</vt:i4>
      </vt:variant>
      <vt:variant>
        <vt:i4>0</vt:i4>
      </vt:variant>
      <vt:variant>
        <vt:i4>5</vt:i4>
      </vt:variant>
      <vt:variant>
        <vt:lpwstr>https://fr.wikipedia.org/wiki/Agro%C3%A9cosyst%C3%A8me</vt:lpwstr>
      </vt:variant>
      <vt:variant>
        <vt:lpwstr/>
      </vt:variant>
      <vt:variant>
        <vt:i4>2097205</vt:i4>
      </vt:variant>
      <vt:variant>
        <vt:i4>567</vt:i4>
      </vt:variant>
      <vt:variant>
        <vt:i4>0</vt:i4>
      </vt:variant>
      <vt:variant>
        <vt:i4>5</vt:i4>
      </vt:variant>
      <vt:variant>
        <vt:lpwstr>https://fr.wikipedia.org/wiki/Sant%C3%A9-environnement</vt:lpwstr>
      </vt:variant>
      <vt:variant>
        <vt:lpwstr/>
      </vt:variant>
      <vt:variant>
        <vt:i4>5111902</vt:i4>
      </vt:variant>
      <vt:variant>
        <vt:i4>564</vt:i4>
      </vt:variant>
      <vt:variant>
        <vt:i4>0</vt:i4>
      </vt:variant>
      <vt:variant>
        <vt:i4>5</vt:i4>
      </vt:variant>
      <vt:variant>
        <vt:lpwstr>https://fr.wikipedia.org/wiki/%C3%89cotoxicologie</vt:lpwstr>
      </vt:variant>
      <vt:variant>
        <vt:lpwstr/>
      </vt:variant>
      <vt:variant>
        <vt:i4>7209013</vt:i4>
      </vt:variant>
      <vt:variant>
        <vt:i4>561</vt:i4>
      </vt:variant>
      <vt:variant>
        <vt:i4>0</vt:i4>
      </vt:variant>
      <vt:variant>
        <vt:i4>5</vt:i4>
      </vt:variant>
      <vt:variant>
        <vt:lpwstr>https://www.20minutes.fr/planete/4139709-20250220-pfas-france-prete-bannir-polluants-eternels-textiles-cosmetiques</vt:lpwstr>
      </vt:variant>
      <vt:variant>
        <vt:lpwstr>:~:text=La%20France%20va%20%C3%AAtre%20%C2%AB%20pionni%C3%A8re%20%C2%BB%20dans,%C3%A9ternels%20%C2%BB%20massivement%20pr%C3%A9sents%20dans%20la%20vie%20courante.</vt:lpwstr>
      </vt:variant>
      <vt:variant>
        <vt:i4>852043</vt:i4>
      </vt:variant>
      <vt:variant>
        <vt:i4>558</vt:i4>
      </vt:variant>
      <vt:variant>
        <vt:i4>0</vt:i4>
      </vt:variant>
      <vt:variant>
        <vt:i4>5</vt:i4>
      </vt:variant>
      <vt:variant>
        <vt:lpwstr>https://www.perseus.tufts.edu/hopper/morph?l=a%29e%2Frinos&amp;la=greek&amp;can=a%29e%2Frinos0&amp;prior=a)/pnoos</vt:lpwstr>
      </vt:variant>
      <vt:variant>
        <vt:lpwstr/>
      </vt:variant>
      <vt:variant>
        <vt:i4>4849698</vt:i4>
      </vt:variant>
      <vt:variant>
        <vt:i4>555</vt:i4>
      </vt:variant>
      <vt:variant>
        <vt:i4>0</vt:i4>
      </vt:variant>
      <vt:variant>
        <vt:i4>5</vt:i4>
      </vt:variant>
      <vt:variant>
        <vt:lpwstr>https://fr.wikipedia.org/wiki/Physique_atmosph%C3%A9rique</vt:lpwstr>
      </vt:variant>
      <vt:variant>
        <vt:lpwstr/>
      </vt:variant>
      <vt:variant>
        <vt:i4>2621541</vt:i4>
      </vt:variant>
      <vt:variant>
        <vt:i4>552</vt:i4>
      </vt:variant>
      <vt:variant>
        <vt:i4>0</vt:i4>
      </vt:variant>
      <vt:variant>
        <vt:i4>5</vt:i4>
      </vt:variant>
      <vt:variant>
        <vt:lpwstr>https://fr.wikipedia.org/wiki/Plan%C3%A8te</vt:lpwstr>
      </vt:variant>
      <vt:variant>
        <vt:lpwstr/>
      </vt:variant>
      <vt:variant>
        <vt:i4>6094855</vt:i4>
      </vt:variant>
      <vt:variant>
        <vt:i4>549</vt:i4>
      </vt:variant>
      <vt:variant>
        <vt:i4>0</vt:i4>
      </vt:variant>
      <vt:variant>
        <vt:i4>5</vt:i4>
      </vt:variant>
      <vt:variant>
        <vt:lpwstr>https://fr.wikipedia.org/wiki/Com%C3%A8te</vt:lpwstr>
      </vt:variant>
      <vt:variant>
        <vt:lpwstr/>
      </vt:variant>
      <vt:variant>
        <vt:i4>5898240</vt:i4>
      </vt:variant>
      <vt:variant>
        <vt:i4>546</vt:i4>
      </vt:variant>
      <vt:variant>
        <vt:i4>0</vt:i4>
      </vt:variant>
      <vt:variant>
        <vt:i4>5</vt:i4>
      </vt:variant>
      <vt:variant>
        <vt:lpwstr>https://fr.wikipedia.org/wiki/A%C3%A9rologie</vt:lpwstr>
      </vt:variant>
      <vt:variant>
        <vt:lpwstr/>
      </vt:variant>
      <vt:variant>
        <vt:i4>6881346</vt:i4>
      </vt:variant>
      <vt:variant>
        <vt:i4>543</vt:i4>
      </vt:variant>
      <vt:variant>
        <vt:i4>0</vt:i4>
      </vt:variant>
      <vt:variant>
        <vt:i4>5</vt:i4>
      </vt:variant>
      <vt:variant>
        <vt:lpwstr>https://fr.wikipedia.org/wiki/A%C3%A9ronomie</vt:lpwstr>
      </vt:variant>
      <vt:variant>
        <vt:lpwstr>cite_note-1</vt:lpwstr>
      </vt:variant>
      <vt:variant>
        <vt:i4>5308440</vt:i4>
      </vt:variant>
      <vt:variant>
        <vt:i4>540</vt:i4>
      </vt:variant>
      <vt:variant>
        <vt:i4>0</vt:i4>
      </vt:variant>
      <vt:variant>
        <vt:i4>5</vt:i4>
      </vt:variant>
      <vt:variant>
        <vt:lpwstr>https://fr.wikipedia.org/wiki/Ionisation</vt:lpwstr>
      </vt:variant>
      <vt:variant>
        <vt:lpwstr/>
      </vt:variant>
      <vt:variant>
        <vt:i4>1441900</vt:i4>
      </vt:variant>
      <vt:variant>
        <vt:i4>537</vt:i4>
      </vt:variant>
      <vt:variant>
        <vt:i4>0</vt:i4>
      </vt:variant>
      <vt:variant>
        <vt:i4>5</vt:i4>
      </vt:variant>
      <vt:variant>
        <vt:lpwstr>https://fr.wikipedia.org/wiki/Atmosph%C3%A8re_terrestre</vt:lpwstr>
      </vt:variant>
      <vt:variant>
        <vt:lpwstr/>
      </vt:variant>
      <vt:variant>
        <vt:i4>262165</vt:i4>
      </vt:variant>
      <vt:variant>
        <vt:i4>534</vt:i4>
      </vt:variant>
      <vt:variant>
        <vt:i4>0</vt:i4>
      </vt:variant>
      <vt:variant>
        <vt:i4>5</vt:i4>
      </vt:variant>
      <vt:variant>
        <vt:lpwstr>https://www.tandfonline.com/doi/abs/10.1080/00022470.1974.10469899?src=recsys</vt:lpwstr>
      </vt:variant>
      <vt:variant>
        <vt:lpwstr/>
      </vt:variant>
      <vt:variant>
        <vt:i4>5505112</vt:i4>
      </vt:variant>
      <vt:variant>
        <vt:i4>531</vt:i4>
      </vt:variant>
      <vt:variant>
        <vt:i4>0</vt:i4>
      </vt:variant>
      <vt:variant>
        <vt:i4>5</vt:i4>
      </vt:variant>
      <vt:variant>
        <vt:lpwstr>https://www.tandfonline.com/doi/pdf/10.1080/10643387709381650</vt:lpwstr>
      </vt:variant>
      <vt:variant>
        <vt:lpwstr/>
      </vt:variant>
      <vt:variant>
        <vt:i4>7077903</vt:i4>
      </vt:variant>
      <vt:variant>
        <vt:i4>528</vt:i4>
      </vt:variant>
      <vt:variant>
        <vt:i4>0</vt:i4>
      </vt:variant>
      <vt:variant>
        <vt:i4>5</vt:i4>
      </vt:variant>
      <vt:variant>
        <vt:lpwstr>https://www.lepoint.fr/eureka/decouverte-majeure-en-biologie-qu-est-ce-que-les-obelisques-qui-se-logent-dans-le-microbiote-de-l-intestin-et-de-la-bouche-27-01-2025-2580873_4706.php</vt:lpwstr>
      </vt:variant>
      <vt:variant>
        <vt:lpwstr/>
      </vt:variant>
      <vt:variant>
        <vt:i4>6291545</vt:i4>
      </vt:variant>
      <vt:variant>
        <vt:i4>525</vt:i4>
      </vt:variant>
      <vt:variant>
        <vt:i4>0</vt:i4>
      </vt:variant>
      <vt:variant>
        <vt:i4>5</vt:i4>
      </vt:variant>
      <vt:variant>
        <vt:lpwstr>https://www.lepoint.fr/sante/un-80e-organe-decouvert-dans-le-corps-humain-28-03-2018-2206327_40.php</vt:lpwstr>
      </vt:variant>
      <vt:variant>
        <vt:lpwstr/>
      </vt:variant>
      <vt:variant>
        <vt:i4>2359405</vt:i4>
      </vt:variant>
      <vt:variant>
        <vt:i4>522</vt:i4>
      </vt:variant>
      <vt:variant>
        <vt:i4>0</vt:i4>
      </vt:variant>
      <vt:variant>
        <vt:i4>5</vt:i4>
      </vt:variant>
      <vt:variant>
        <vt:lpwstr>https://basta.media/pesticides-sdhi-graves-effets-sur-sante-entretien-Laurence-Huc</vt:lpwstr>
      </vt:variant>
      <vt:variant>
        <vt:lpwstr/>
      </vt:variant>
      <vt:variant>
        <vt:i4>4063301</vt:i4>
      </vt:variant>
      <vt:variant>
        <vt:i4>519</vt:i4>
      </vt:variant>
      <vt:variant>
        <vt:i4>0</vt:i4>
      </vt:variant>
      <vt:variant>
        <vt:i4>5</vt:i4>
      </vt:variant>
      <vt:variant>
        <vt:lpwstr>https://www.liberation.fr/debats/2018/04/15/une-revolution-urgente-semble-necessaire-dans-l-usage-des-antifongiques_1643539/</vt:lpwstr>
      </vt:variant>
      <vt:variant>
        <vt:lpwstr/>
      </vt:variant>
      <vt:variant>
        <vt:i4>6881339</vt:i4>
      </vt:variant>
      <vt:variant>
        <vt:i4>516</vt:i4>
      </vt:variant>
      <vt:variant>
        <vt:i4>0</vt:i4>
      </vt:variant>
      <vt:variant>
        <vt:i4>5</vt:i4>
      </vt:variant>
      <vt:variant>
        <vt:lpwstr>https://www.france.tv/france-3/pays-de-la-loire/la-france-en-vrai-pays-de-la-loire/5866959-contrepoisons-un-combat-citoyen.html</vt:lpwstr>
      </vt:variant>
      <vt:variant>
        <vt:lpwstr/>
      </vt:variant>
      <vt:variant>
        <vt:i4>7209075</vt:i4>
      </vt:variant>
      <vt:variant>
        <vt:i4>513</vt:i4>
      </vt:variant>
      <vt:variant>
        <vt:i4>0</vt:i4>
      </vt:variant>
      <vt:variant>
        <vt:i4>5</vt:i4>
      </vt:variant>
      <vt:variant>
        <vt:lpwstr>https://stopauxcancersdenosenfants.fr/institut-citoyen-de-recherche-et-de-prevention-en-sante-environnementale/</vt:lpwstr>
      </vt:variant>
      <vt:variant>
        <vt:lpwstr/>
      </vt:variant>
      <vt:variant>
        <vt:i4>3604530</vt:i4>
      </vt:variant>
      <vt:variant>
        <vt:i4>510</vt:i4>
      </vt:variant>
      <vt:variant>
        <vt:i4>0</vt:i4>
      </vt:variant>
      <vt:variant>
        <vt:i4>5</vt:i4>
      </vt:variant>
      <vt:variant>
        <vt:lpwstr>https://www.anses.fr/fr/content/radiofrequences-cancers-consultation-publique-projet-rapport-dexpertise</vt:lpwstr>
      </vt:variant>
      <vt:variant>
        <vt:lpwstr/>
      </vt:variant>
      <vt:variant>
        <vt:i4>7929970</vt:i4>
      </vt:variant>
      <vt:variant>
        <vt:i4>507</vt:i4>
      </vt:variant>
      <vt:variant>
        <vt:i4>0</vt:i4>
      </vt:variant>
      <vt:variant>
        <vt:i4>5</vt:i4>
      </vt:variant>
      <vt:variant>
        <vt:lpwstr>https://www.cem-vivant.com/page-les-riverains-d-antennes-relais,12.html</vt:lpwstr>
      </vt:variant>
      <vt:variant>
        <vt:lpwstr/>
      </vt:variant>
      <vt:variant>
        <vt:i4>5832717</vt:i4>
      </vt:variant>
      <vt:variant>
        <vt:i4>504</vt:i4>
      </vt:variant>
      <vt:variant>
        <vt:i4>0</vt:i4>
      </vt:variant>
      <vt:variant>
        <vt:i4>5</vt:i4>
      </vt:variant>
      <vt:variant>
        <vt:lpwstr>https://hal.science/hal-02054486/document</vt:lpwstr>
      </vt:variant>
      <vt:variant>
        <vt:lpwstr/>
      </vt:variant>
      <vt:variant>
        <vt:i4>6946852</vt:i4>
      </vt:variant>
      <vt:variant>
        <vt:i4>501</vt:i4>
      </vt:variant>
      <vt:variant>
        <vt:i4>0</vt:i4>
      </vt:variant>
      <vt:variant>
        <vt:i4>5</vt:i4>
      </vt:variant>
      <vt:variant>
        <vt:lpwstr>https://www.santepubliquefrance.fr/a-propos/notre-organisation/une-organisation-au-service-des-programmes/conseil-scientifique</vt:lpwstr>
      </vt:variant>
      <vt:variant>
        <vt:lpwstr>:~:text=Le%20%EE%80%80Conseil%20scientifique%EE%80%81</vt:lpwstr>
      </vt:variant>
      <vt:variant>
        <vt:i4>7405584</vt:i4>
      </vt:variant>
      <vt:variant>
        <vt:i4>498</vt:i4>
      </vt:variant>
      <vt:variant>
        <vt:i4>0</vt:i4>
      </vt:variant>
      <vt:variant>
        <vt:i4>5</vt:i4>
      </vt:variant>
      <vt:variant>
        <vt:lpwstr>https://agir-ese.org/sites/default/files/2019-06/dossier1_ORS.pdf</vt:lpwstr>
      </vt:variant>
      <vt:variant>
        <vt:lpwstr/>
      </vt:variant>
      <vt:variant>
        <vt:i4>3342455</vt:i4>
      </vt:variant>
      <vt:variant>
        <vt:i4>495</vt:i4>
      </vt:variant>
      <vt:variant>
        <vt:i4>0</vt:i4>
      </vt:variant>
      <vt:variant>
        <vt:i4>5</vt:i4>
      </vt:variant>
      <vt:variant>
        <vt:lpwstr>https://www.santepubliquefrance.fr/surveillance-syndromique-sursaud-R/qu-est-ce-que-la-surveillance-syndromique</vt:lpwstr>
      </vt:variant>
      <vt:variant>
        <vt:lpwstr>block-392945</vt:lpwstr>
      </vt:variant>
      <vt:variant>
        <vt:i4>720961</vt:i4>
      </vt:variant>
      <vt:variant>
        <vt:i4>492</vt:i4>
      </vt:variant>
      <vt:variant>
        <vt:i4>0</vt:i4>
      </vt:variant>
      <vt:variant>
        <vt:i4>5</vt:i4>
      </vt:variant>
      <vt:variant>
        <vt:lpwstr>https://www.santepubliquefrance.fr/etudes-et-enquetes/esteban</vt:lpwstr>
      </vt:variant>
      <vt:variant>
        <vt:lpwstr/>
      </vt:variant>
      <vt:variant>
        <vt:i4>7929970</vt:i4>
      </vt:variant>
      <vt:variant>
        <vt:i4>489</vt:i4>
      </vt:variant>
      <vt:variant>
        <vt:i4>0</vt:i4>
      </vt:variant>
      <vt:variant>
        <vt:i4>5</vt:i4>
      </vt:variant>
      <vt:variant>
        <vt:lpwstr>https://www.cem-vivant.com/page-les-riverains-d-antennes-relais,12.html</vt:lpwstr>
      </vt:variant>
      <vt:variant>
        <vt:lpwstr/>
      </vt:variant>
      <vt:variant>
        <vt:i4>6029397</vt:i4>
      </vt:variant>
      <vt:variant>
        <vt:i4>486</vt:i4>
      </vt:variant>
      <vt:variant>
        <vt:i4>0</vt:i4>
      </vt:variant>
      <vt:variant>
        <vt:i4>5</vt:i4>
      </vt:variant>
      <vt:variant>
        <vt:lpwstr>https://www.laberca.org/</vt:lpwstr>
      </vt:variant>
      <vt:variant>
        <vt:lpwstr/>
      </vt:variant>
      <vt:variant>
        <vt:i4>4784156</vt:i4>
      </vt:variant>
      <vt:variant>
        <vt:i4>483</vt:i4>
      </vt:variant>
      <vt:variant>
        <vt:i4>0</vt:i4>
      </vt:variant>
      <vt:variant>
        <vt:i4>5</vt:i4>
      </vt:variant>
      <vt:variant>
        <vt:lpwstr>https://www.france-exposome.org/</vt:lpwstr>
      </vt:variant>
      <vt:variant>
        <vt:lpwstr/>
      </vt:variant>
      <vt:variant>
        <vt:i4>5242894</vt:i4>
      </vt:variant>
      <vt:variant>
        <vt:i4>480</vt:i4>
      </vt:variant>
      <vt:variant>
        <vt:i4>0</vt:i4>
      </vt:variant>
      <vt:variant>
        <vt:i4>5</vt:i4>
      </vt:variant>
      <vt:variant>
        <vt:lpwstr>https://www.bing.com/videos/riverview/relatedvideo?q=chimie+quantique+et+concept+d%27%c3%a9mergence%c3%b9&amp;mid=C7BADD1CFE7A3DF27CA3C7BADD1CFE7A3DF27CA3&amp;FORM=VIRE</vt:lpwstr>
      </vt:variant>
      <vt:variant>
        <vt:lpwstr/>
      </vt:variant>
      <vt:variant>
        <vt:i4>2621544</vt:i4>
      </vt:variant>
      <vt:variant>
        <vt:i4>477</vt:i4>
      </vt:variant>
      <vt:variant>
        <vt:i4>0</vt:i4>
      </vt:variant>
      <vt:variant>
        <vt:i4>5</vt:i4>
      </vt:variant>
      <vt:variant>
        <vt:lpwstr>https://theses.hal.science/pastel-00922954/</vt:lpwstr>
      </vt:variant>
      <vt:variant>
        <vt:lpwstr/>
      </vt:variant>
      <vt:variant>
        <vt:i4>4456517</vt:i4>
      </vt:variant>
      <vt:variant>
        <vt:i4>474</vt:i4>
      </vt:variant>
      <vt:variant>
        <vt:i4>0</vt:i4>
      </vt:variant>
      <vt:variant>
        <vt:i4>5</vt:i4>
      </vt:variant>
      <vt:variant>
        <vt:lpwstr>https://philosciences.com/karl-popper-et-les-criteres-de-la-scientificite</vt:lpwstr>
      </vt:variant>
      <vt:variant>
        <vt:lpwstr/>
      </vt:variant>
      <vt:variant>
        <vt:i4>6815852</vt:i4>
      </vt:variant>
      <vt:variant>
        <vt:i4>471</vt:i4>
      </vt:variant>
      <vt:variant>
        <vt:i4>0</vt:i4>
      </vt:variant>
      <vt:variant>
        <vt:i4>5</vt:i4>
      </vt:variant>
      <vt:variant>
        <vt:lpwstr>https://www.pays-scandinaves.com/2012/04/les-suede-championne-de-la-telephonie-mobile/</vt:lpwstr>
      </vt:variant>
      <vt:variant>
        <vt:lpwstr/>
      </vt:variant>
      <vt:variant>
        <vt:i4>1376304</vt:i4>
      </vt:variant>
      <vt:variant>
        <vt:i4>468</vt:i4>
      </vt:variant>
      <vt:variant>
        <vt:i4>0</vt:i4>
      </vt:variant>
      <vt:variant>
        <vt:i4>5</vt:i4>
      </vt:variant>
      <vt:variant>
        <vt:lpwstr>https://fr.wikipedia.org/wiki/Limites_plan%C3%A9taires</vt:lpwstr>
      </vt:variant>
      <vt:variant>
        <vt:lpwstr>:~:text=Les%20limites%20plan%C3%A9taires%20sont%20les%20seuils%20que%20l%27humanit%C3%A9,en%20%C3%A9vitant%20les%20modifications%20brutales%20et%20difficilement%20p</vt:lpwstr>
      </vt:variant>
      <vt:variant>
        <vt:i4>3866721</vt:i4>
      </vt:variant>
      <vt:variant>
        <vt:i4>465</vt:i4>
      </vt:variant>
      <vt:variant>
        <vt:i4>0</vt:i4>
      </vt:variant>
      <vt:variant>
        <vt:i4>5</vt:i4>
      </vt:variant>
      <vt:variant>
        <vt:lpwstr>https://fr.wikipedia.org/wiki/T%C3%A9l%C3%A9vision</vt:lpwstr>
      </vt:variant>
      <vt:variant>
        <vt:lpwstr/>
      </vt:variant>
      <vt:variant>
        <vt:i4>1638428</vt:i4>
      </vt:variant>
      <vt:variant>
        <vt:i4>462</vt:i4>
      </vt:variant>
      <vt:variant>
        <vt:i4>0</vt:i4>
      </vt:variant>
      <vt:variant>
        <vt:i4>5</vt:i4>
      </vt:variant>
      <vt:variant>
        <vt:lpwstr>https://fr.wikipedia.org/wiki/Monopole_radical</vt:lpwstr>
      </vt:variant>
      <vt:variant>
        <vt:lpwstr>cite_note-1</vt:lpwstr>
      </vt:variant>
      <vt:variant>
        <vt:i4>5177381</vt:i4>
      </vt:variant>
      <vt:variant>
        <vt:i4>459</vt:i4>
      </vt:variant>
      <vt:variant>
        <vt:i4>0</vt:i4>
      </vt:variant>
      <vt:variant>
        <vt:i4>5</vt:i4>
      </vt:variant>
      <vt:variant>
        <vt:lpwstr>https://fr.wikipedia.org/wiki/Ivan_Illich</vt:lpwstr>
      </vt:variant>
      <vt:variant>
        <vt:lpwstr/>
      </vt:variant>
      <vt:variant>
        <vt:i4>2687084</vt:i4>
      </vt:variant>
      <vt:variant>
        <vt:i4>456</vt:i4>
      </vt:variant>
      <vt:variant>
        <vt:i4>0</vt:i4>
      </vt:variant>
      <vt:variant>
        <vt:i4>5</vt:i4>
      </vt:variant>
      <vt:variant>
        <vt:lpwstr>https://fr.wikipedia.org/wiki/Productivisme</vt:lpwstr>
      </vt:variant>
      <vt:variant>
        <vt:lpwstr/>
      </vt:variant>
      <vt:variant>
        <vt:i4>2490467</vt:i4>
      </vt:variant>
      <vt:variant>
        <vt:i4>453</vt:i4>
      </vt:variant>
      <vt:variant>
        <vt:i4>0</vt:i4>
      </vt:variant>
      <vt:variant>
        <vt:i4>5</vt:i4>
      </vt:variant>
      <vt:variant>
        <vt:lpwstr>https://fr.wikipedia.org/wiki/Consommation</vt:lpwstr>
      </vt:variant>
      <vt:variant>
        <vt:lpwstr/>
      </vt:variant>
      <vt:variant>
        <vt:i4>2228318</vt:i4>
      </vt:variant>
      <vt:variant>
        <vt:i4>450</vt:i4>
      </vt:variant>
      <vt:variant>
        <vt:i4>0</vt:i4>
      </vt:variant>
      <vt:variant>
        <vt:i4>5</vt:i4>
      </vt:variant>
      <vt:variant>
        <vt:lpwstr>https://fr.wikipedia.org/wiki/Monopole_radical</vt:lpwstr>
      </vt:variant>
      <vt:variant>
        <vt:lpwstr/>
      </vt:variant>
      <vt:variant>
        <vt:i4>1114119</vt:i4>
      </vt:variant>
      <vt:variant>
        <vt:i4>447</vt:i4>
      </vt:variant>
      <vt:variant>
        <vt:i4>0</vt:i4>
      </vt:variant>
      <vt:variant>
        <vt:i4>5</vt:i4>
      </vt:variant>
      <vt:variant>
        <vt:lpwstr>https://fr.wikipedia.org/wiki/%C3%89l%C3%A9ment-trace_m%C3%A9tallique</vt:lpwstr>
      </vt:variant>
      <vt:variant>
        <vt:lpwstr>cite_note-9</vt:lpwstr>
      </vt:variant>
      <vt:variant>
        <vt:i4>458792</vt:i4>
      </vt:variant>
      <vt:variant>
        <vt:i4>444</vt:i4>
      </vt:variant>
      <vt:variant>
        <vt:i4>0</vt:i4>
      </vt:variant>
      <vt:variant>
        <vt:i4>5</vt:i4>
      </vt:variant>
      <vt:variant>
        <vt:lpwstr>https://fr.wikipedia.org/wiki/%C3%89lectroenc%C3%A9phalographie_quantitative</vt:lpwstr>
      </vt:variant>
      <vt:variant>
        <vt:lpwstr>Historique</vt:lpwstr>
      </vt:variant>
      <vt:variant>
        <vt:i4>6094931</vt:i4>
      </vt:variant>
      <vt:variant>
        <vt:i4>441</vt:i4>
      </vt:variant>
      <vt:variant>
        <vt:i4>0</vt:i4>
      </vt:variant>
      <vt:variant>
        <vt:i4>5</vt:i4>
      </vt:variant>
      <vt:variant>
        <vt:lpwstr>https://www.lemonde.fr/sciences/article/2013/04/11/la-seconde-mort-de-l-alchimiste-paracelse_3158427_1650684.html</vt:lpwstr>
      </vt:variant>
      <vt:variant>
        <vt:lpwstr/>
      </vt:variant>
      <vt:variant>
        <vt:i4>1245253</vt:i4>
      </vt:variant>
      <vt:variant>
        <vt:i4>438</vt:i4>
      </vt:variant>
      <vt:variant>
        <vt:i4>0</vt:i4>
      </vt:variant>
      <vt:variant>
        <vt:i4>5</vt:i4>
      </vt:variant>
      <vt:variant>
        <vt:lpwstr>https://www.atousante.com/actualites/publicite-pour-lamiante/</vt:lpwstr>
      </vt:variant>
      <vt:variant>
        <vt:lpwstr/>
      </vt:variant>
      <vt:variant>
        <vt:i4>6946851</vt:i4>
      </vt:variant>
      <vt:variant>
        <vt:i4>435</vt:i4>
      </vt:variant>
      <vt:variant>
        <vt:i4>0</vt:i4>
      </vt:variant>
      <vt:variant>
        <vt:i4>5</vt:i4>
      </vt:variant>
      <vt:variant>
        <vt:lpwstr>https://www.vivelapub.fr/fumez-cest-bon-pour-votre-sante-selon-la-pub/</vt:lpwstr>
      </vt:variant>
      <vt:variant>
        <vt:lpwstr/>
      </vt:variant>
      <vt:variant>
        <vt:i4>7405600</vt:i4>
      </vt:variant>
      <vt:variant>
        <vt:i4>432</vt:i4>
      </vt:variant>
      <vt:variant>
        <vt:i4>0</vt:i4>
      </vt:variant>
      <vt:variant>
        <vt:i4>5</vt:i4>
      </vt:variant>
      <vt:variant>
        <vt:lpwstr>https://www.topito.com/top-pubs-vantent-bienfaits-produits-radioactifs</vt:lpwstr>
      </vt:variant>
      <vt:variant>
        <vt:lpwstr/>
      </vt:variant>
      <vt:variant>
        <vt:i4>7536754</vt:i4>
      </vt:variant>
      <vt:variant>
        <vt:i4>429</vt:i4>
      </vt:variant>
      <vt:variant>
        <vt:i4>0</vt:i4>
      </vt:variant>
      <vt:variant>
        <vt:i4>5</vt:i4>
      </vt:variant>
      <vt:variant>
        <vt:lpwstr>https://desetoilesdanslamer-vaincreleglioblastome.fr/wp-content/uploads/2021/09/Comprendre-le-glioblastome.pdf</vt:lpwstr>
      </vt:variant>
      <vt:variant>
        <vt:lpwstr/>
      </vt:variant>
      <vt:variant>
        <vt:i4>7405607</vt:i4>
      </vt:variant>
      <vt:variant>
        <vt:i4>426</vt:i4>
      </vt:variant>
      <vt:variant>
        <vt:i4>0</vt:i4>
      </vt:variant>
      <vt:variant>
        <vt:i4>5</vt:i4>
      </vt:variant>
      <vt:variant>
        <vt:lpwstr>https://www.sera.asso.fr/index.php/cancers-du-cerveau-4-fois-plus-de-glioblastomes-confirmes-en-30-ans/</vt:lpwstr>
      </vt:variant>
      <vt:variant>
        <vt:lpwstr/>
      </vt:variant>
      <vt:variant>
        <vt:i4>3276924</vt:i4>
      </vt:variant>
      <vt:variant>
        <vt:i4>423</vt:i4>
      </vt:variant>
      <vt:variant>
        <vt:i4>0</vt:i4>
      </vt:variant>
      <vt:variant>
        <vt:i4>5</vt:i4>
      </vt:variant>
      <vt:variant>
        <vt:lpwstr>https://www.santepubliquefrance.fr/maladies-et-traumatismes/cancers/cancer-du-sein/documents/rapport-synthese/estimations-nationales-de-l-incidence-et-de-la-mortalite-par-cancer-en-france-metropolitaine-entre-1990-et-2018-volume-1-tumeurs-solides-etud</vt:lpwstr>
      </vt:variant>
      <vt:variant>
        <vt:lpwstr/>
      </vt:variant>
      <vt:variant>
        <vt:i4>17</vt:i4>
      </vt:variant>
      <vt:variant>
        <vt:i4>420</vt:i4>
      </vt:variant>
      <vt:variant>
        <vt:i4>0</vt:i4>
      </vt:variant>
      <vt:variant>
        <vt:i4>5</vt:i4>
      </vt:variant>
      <vt:variant>
        <vt:lpwstr>https://www.msn.com/fr-fr/sante/other/progression-du-cancer-du-pancr%C3%A9as-en-france-cette-piste-mise-en-lumi%C3%A8re-par-une-nouvelle-%C3%A9tude/ar-AA1wIcP8?ocid=msedgntp&amp;pc=U531&amp;cvid=450ee04046ca4bafb78ef15c020c360c&amp;ei=56</vt:lpwstr>
      </vt:variant>
      <vt:variant>
        <vt:lpwstr/>
      </vt:variant>
      <vt:variant>
        <vt:i4>4456453</vt:i4>
      </vt:variant>
      <vt:variant>
        <vt:i4>417</vt:i4>
      </vt:variant>
      <vt:variant>
        <vt:i4>0</vt:i4>
      </vt:variant>
      <vt:variant>
        <vt:i4>5</vt:i4>
      </vt:variant>
      <vt:variant>
        <vt:lpwstr>https://www.femmeactuelle.fr/sante/sante-pratique/hausse-des-cancers-du-pancreas-quels-sont-les-facteurs-de-risque-et-peut-on-le-prevenir-2173305</vt:lpwstr>
      </vt:variant>
      <vt:variant>
        <vt:lpwstr/>
      </vt:variant>
      <vt:variant>
        <vt:i4>8126507</vt:i4>
      </vt:variant>
      <vt:variant>
        <vt:i4>414</vt:i4>
      </vt:variant>
      <vt:variant>
        <vt:i4>0</vt:i4>
      </vt:variant>
      <vt:variant>
        <vt:i4>5</vt:i4>
      </vt:variant>
      <vt:variant>
        <vt:lpwstr>https://www.arcagy.org/infocancer/localisations/autres-types-de-cancers/tumeurs-cerebrales/maladie/l-epidemiologie.html</vt:lpwstr>
      </vt:variant>
      <vt:variant>
        <vt:lpwstr/>
      </vt:variant>
      <vt:variant>
        <vt:i4>720896</vt:i4>
      </vt:variant>
      <vt:variant>
        <vt:i4>411</vt:i4>
      </vt:variant>
      <vt:variant>
        <vt:i4>0</vt:i4>
      </vt:variant>
      <vt:variant>
        <vt:i4>5</vt:i4>
      </vt:variant>
      <vt:variant>
        <vt:lpwstr>https://www.e-cancer.fr/Expertises-et-publications/Catalogue-des-publications/Panorama-des-cancers-en-France-edition-2024</vt:lpwstr>
      </vt:variant>
      <vt:variant>
        <vt:lpwstr/>
      </vt:variant>
      <vt:variant>
        <vt:i4>2293823</vt:i4>
      </vt:variant>
      <vt:variant>
        <vt:i4>408</vt:i4>
      </vt:variant>
      <vt:variant>
        <vt:i4>0</vt:i4>
      </vt:variant>
      <vt:variant>
        <vt:i4>5</vt:i4>
      </vt:variant>
      <vt:variant>
        <vt:lpwstr>https://www.radiofrance.fr/franceculture/podcasts/les-nuits-de-france-culture/terre-a-terre-les-lanceurs-d-alerte-1ere-diffusion-22-04-2006-6120679</vt:lpwstr>
      </vt:variant>
      <vt:variant>
        <vt:lpwstr/>
      </vt:variant>
      <vt:variant>
        <vt:i4>7798882</vt:i4>
      </vt:variant>
      <vt:variant>
        <vt:i4>405</vt:i4>
      </vt:variant>
      <vt:variant>
        <vt:i4>0</vt:i4>
      </vt:variant>
      <vt:variant>
        <vt:i4>5</vt:i4>
      </vt:variant>
      <vt:variant>
        <vt:lpwstr>https://www.linkedin.com/pulse/ne-progresse-que-ce-qui-se-mesure-vraiment-philippe-duthoit/</vt:lpwstr>
      </vt:variant>
      <vt:variant>
        <vt:lpwstr/>
      </vt:variant>
      <vt:variant>
        <vt:i4>7929968</vt:i4>
      </vt:variant>
      <vt:variant>
        <vt:i4>402</vt:i4>
      </vt:variant>
      <vt:variant>
        <vt:i4>0</vt:i4>
      </vt:variant>
      <vt:variant>
        <vt:i4>5</vt:i4>
      </vt:variant>
      <vt:variant>
        <vt:lpwstr>https://www.lemonde.fr/economie/article/2013/03/25/le-theoreme-du-lampadaire-de-jean-paul-fitoussi-les-liens-qui-liberent_1853662_3234.html</vt:lpwstr>
      </vt:variant>
      <vt:variant>
        <vt:lpwstr/>
      </vt:variant>
      <vt:variant>
        <vt:i4>4325393</vt:i4>
      </vt:variant>
      <vt:variant>
        <vt:i4>399</vt:i4>
      </vt:variant>
      <vt:variant>
        <vt:i4>0</vt:i4>
      </vt:variant>
      <vt:variant>
        <vt:i4>5</vt:i4>
      </vt:variant>
      <vt:variant>
        <vt:lpwstr>https://354879.seu2.cleverreach.com/m/15623152/0-2d113cd419502400a47f2556c62df5401e2e8d635dd7ad07c1c21d316c3476a38a1d8bde1d3d11aa35568e50ed0ce943</vt:lpwstr>
      </vt:variant>
      <vt:variant>
        <vt:lpwstr/>
      </vt:variant>
      <vt:variant>
        <vt:i4>721022</vt:i4>
      </vt:variant>
      <vt:variant>
        <vt:i4>396</vt:i4>
      </vt:variant>
      <vt:variant>
        <vt:i4>0</vt:i4>
      </vt:variant>
      <vt:variant>
        <vt:i4>5</vt:i4>
      </vt:variant>
      <vt:variant>
        <vt:lpwstr>https://www.francetvinfo.fr/societe/enfance-et-adolescence/les-enfants-francais-obtiennent-leur-premier-smartphone-a-11-ans-et-quatre-mois-en-moyenne-selon-une-etude_6824255.html</vt:lpwstr>
      </vt:variant>
      <vt:variant>
        <vt:lpwstr/>
      </vt:variant>
      <vt:variant>
        <vt:i4>2031695</vt:i4>
      </vt:variant>
      <vt:variant>
        <vt:i4>393</vt:i4>
      </vt:variant>
      <vt:variant>
        <vt:i4>0</vt:i4>
      </vt:variant>
      <vt:variant>
        <vt:i4>5</vt:i4>
      </vt:variant>
      <vt:variant>
        <vt:lpwstr>https://www.open-asso.org/livre-blanc-open-2024/</vt:lpwstr>
      </vt:variant>
      <vt:variant>
        <vt:lpwstr/>
      </vt:variant>
      <vt:variant>
        <vt:i4>4653065</vt:i4>
      </vt:variant>
      <vt:variant>
        <vt:i4>390</vt:i4>
      </vt:variant>
      <vt:variant>
        <vt:i4>0</vt:i4>
      </vt:variant>
      <vt:variant>
        <vt:i4>5</vt:i4>
      </vt:variant>
      <vt:variant>
        <vt:lpwstr>https://www.msn.com/fr-fr/lifestyle/trucs-et-astuces/%C3%A0-quel-%C3%A2ge-les-enfants-ont-ils-leur-premier-t%C3%A9l%C3%A9phone/ar-AA1s9GM2?ocid=msedgntp&amp;pc=U531&amp;cvid=43b954a9f99e4d41a500802cf6e91e28&amp;ei=57</vt:lpwstr>
      </vt:variant>
      <vt:variant>
        <vt:lpwstr/>
      </vt:variant>
      <vt:variant>
        <vt:i4>7077958</vt:i4>
      </vt:variant>
      <vt:variant>
        <vt:i4>387</vt:i4>
      </vt:variant>
      <vt:variant>
        <vt:i4>0</vt:i4>
      </vt:variant>
      <vt:variant>
        <vt:i4>5</vt:i4>
      </vt:variant>
      <vt:variant>
        <vt:lpwstr>https://www.anfr.fr/fileadmin/mediatheque/documents/Rapports/Protocole_de_mesures/etudes_exposition_du_public_aux_ondes_radioelectriques_.pdf</vt:lpwstr>
      </vt:variant>
      <vt:variant>
        <vt:lpwstr/>
      </vt:variant>
      <vt:variant>
        <vt:i4>1703937</vt:i4>
      </vt:variant>
      <vt:variant>
        <vt:i4>384</vt:i4>
      </vt:variant>
      <vt:variant>
        <vt:i4>0</vt:i4>
      </vt:variant>
      <vt:variant>
        <vt:i4>5</vt:i4>
      </vt:variant>
      <vt:variant>
        <vt:lpwstr>https://www.arcep.fr/cartes-et-donnees/nos-cartes/deploiement-5g/observatoire-du-deploiement-5g-lhistorique-des-publications.html</vt:lpwstr>
      </vt:variant>
      <vt:variant>
        <vt:lpwstr/>
      </vt:variant>
      <vt:variant>
        <vt:i4>7929883</vt:i4>
      </vt:variant>
      <vt:variant>
        <vt:i4>381</vt:i4>
      </vt:variant>
      <vt:variant>
        <vt:i4>0</vt:i4>
      </vt:variant>
      <vt:variant>
        <vt:i4>5</vt:i4>
      </vt:variant>
      <vt:variant>
        <vt:lpwstr>https://www.anfr.fr/fileadmin/user_upload/ANFR_RA_2022web.pdf</vt:lpwstr>
      </vt:variant>
      <vt:variant>
        <vt:lpwstr/>
      </vt:variant>
      <vt:variant>
        <vt:i4>3211382</vt:i4>
      </vt:variant>
      <vt:variant>
        <vt:i4>378</vt:i4>
      </vt:variant>
      <vt:variant>
        <vt:i4>0</vt:i4>
      </vt:variant>
      <vt:variant>
        <vt:i4>5</vt:i4>
      </vt:variant>
      <vt:variant>
        <vt:lpwstr>https://www.arcep.fr/cartes-et-donnees/nos-cartes/deploiement-5g/observatoire-du-deploiement-5g-decembre-2020.html</vt:lpwstr>
      </vt:variant>
      <vt:variant>
        <vt:lpwstr/>
      </vt:variant>
      <vt:variant>
        <vt:i4>393320</vt:i4>
      </vt:variant>
      <vt:variant>
        <vt:i4>375</vt:i4>
      </vt:variant>
      <vt:variant>
        <vt:i4>0</vt:i4>
      </vt:variant>
      <vt:variant>
        <vt:i4>5</vt:i4>
      </vt:variant>
      <vt:variant>
        <vt:lpwstr>http://www.mobile-users.net/antennes_mobiles/</vt:lpwstr>
      </vt:variant>
      <vt:variant>
        <vt:lpwstr/>
      </vt:variant>
      <vt:variant>
        <vt:i4>3080251</vt:i4>
      </vt:variant>
      <vt:variant>
        <vt:i4>372</vt:i4>
      </vt:variant>
      <vt:variant>
        <vt:i4>0</vt:i4>
      </vt:variant>
      <vt:variant>
        <vt:i4>5</vt:i4>
      </vt:variant>
      <vt:variant>
        <vt:lpwstr>https://fr.statista.com/themes/2949/la-telephonie-mobile-en-france/</vt:lpwstr>
      </vt:variant>
      <vt:variant>
        <vt:lpwstr>editorsPicks</vt:lpwstr>
      </vt:variant>
      <vt:variant>
        <vt:i4>6881321</vt:i4>
      </vt:variant>
      <vt:variant>
        <vt:i4>369</vt:i4>
      </vt:variant>
      <vt:variant>
        <vt:i4>0</vt:i4>
      </vt:variant>
      <vt:variant>
        <vt:i4>5</vt:i4>
      </vt:variant>
      <vt:variant>
        <vt:lpwstr>https://fr.statista.com/statistiques/533491/orange-revenu-mensuel-moyen-par-abonne-telephonie-mobile-par-offre-france/</vt:lpwstr>
      </vt:variant>
      <vt:variant>
        <vt:lpwstr/>
      </vt:variant>
      <vt:variant>
        <vt:i4>5636186</vt:i4>
      </vt:variant>
      <vt:variant>
        <vt:i4>366</vt:i4>
      </vt:variant>
      <vt:variant>
        <vt:i4>0</vt:i4>
      </vt:variant>
      <vt:variant>
        <vt:i4>5</vt:i4>
      </vt:variant>
      <vt:variant>
        <vt:lpwstr>https://fr.statista.com/statistiques/502803/revenus-operateurs-services-communications-electroniques-france/</vt:lpwstr>
      </vt:variant>
      <vt:variant>
        <vt:lpwstr/>
      </vt:variant>
      <vt:variant>
        <vt:i4>3080318</vt:i4>
      </vt:variant>
      <vt:variant>
        <vt:i4>363</vt:i4>
      </vt:variant>
      <vt:variant>
        <vt:i4>0</vt:i4>
      </vt:variant>
      <vt:variant>
        <vt:i4>5</vt:i4>
      </vt:variant>
      <vt:variant>
        <vt:lpwstr>https://fr.statista.com/statistiques/1361961/revenu-total-marche-telecommunications-par-secteur-france/</vt:lpwstr>
      </vt:variant>
      <vt:variant>
        <vt:lpwstr/>
      </vt:variant>
      <vt:variant>
        <vt:i4>2949172</vt:i4>
      </vt:variant>
      <vt:variant>
        <vt:i4>360</vt:i4>
      </vt:variant>
      <vt:variant>
        <vt:i4>0</vt:i4>
      </vt:variant>
      <vt:variant>
        <vt:i4>5</vt:i4>
      </vt:variant>
      <vt:variant>
        <vt:lpwstr>https://fr.statista.com/statistiques/504519/nombre-d-abonnements-et-forfaits-telephonie-mobile-france/</vt:lpwstr>
      </vt:variant>
      <vt:variant>
        <vt:lpwstr/>
      </vt:variant>
      <vt:variant>
        <vt:i4>2621545</vt:i4>
      </vt:variant>
      <vt:variant>
        <vt:i4>357</vt:i4>
      </vt:variant>
      <vt:variant>
        <vt:i4>0</vt:i4>
      </vt:variant>
      <vt:variant>
        <vt:i4>5</vt:i4>
      </vt:variant>
      <vt:variant>
        <vt:lpwstr>https://fr.statista.com/statistiques/1361172/acces-internet-selon-appareil-utilise-france/</vt:lpwstr>
      </vt:variant>
      <vt:variant>
        <vt:lpwstr/>
      </vt:variant>
      <vt:variant>
        <vt:i4>4259850</vt:i4>
      </vt:variant>
      <vt:variant>
        <vt:i4>354</vt:i4>
      </vt:variant>
      <vt:variant>
        <vt:i4>0</vt:i4>
      </vt:variant>
      <vt:variant>
        <vt:i4>5</vt:i4>
      </vt:variant>
      <vt:variant>
        <vt:lpwstr>https://www.mobilophiles.com/2016/01/l-histoire-du-telephone-portable-rappelez-vous-retour-sur-plus-d-un-siecle-d-evolution.html</vt:lpwstr>
      </vt:variant>
      <vt:variant>
        <vt:lpwstr/>
      </vt:variant>
      <vt:variant>
        <vt:i4>1507417</vt:i4>
      </vt:variant>
      <vt:variant>
        <vt:i4>351</vt:i4>
      </vt:variant>
      <vt:variant>
        <vt:i4>0</vt:i4>
      </vt:variant>
      <vt:variant>
        <vt:i4>5</vt:i4>
      </vt:variant>
      <vt:variant>
        <vt:lpwstr>https://www.college-de-france.fr/fr/agenda/lecon-inaugurale/causes-et-conditions-exterieures-des-maladies-et-de-la-sante/causes-et-conditions-exterieures-des-maladies-et-de-la-sante</vt:lpwstr>
      </vt:variant>
      <vt:variant>
        <vt:lpwstr/>
      </vt:variant>
      <vt:variant>
        <vt:i4>5111816</vt:i4>
      </vt:variant>
      <vt:variant>
        <vt:i4>348</vt:i4>
      </vt:variant>
      <vt:variant>
        <vt:i4>0</vt:i4>
      </vt:variant>
      <vt:variant>
        <vt:i4>5</vt:i4>
      </vt:variant>
      <vt:variant>
        <vt:lpwstr>https://fr.wikipedia.org/wiki/Effets_biologiques_et_environnementaux_des_champs_%C3%A9lectromagn%C3%A9tiques</vt:lpwstr>
      </vt:variant>
      <vt:variant>
        <vt:lpwstr/>
      </vt:variant>
      <vt:variant>
        <vt:i4>3604596</vt:i4>
      </vt:variant>
      <vt:variant>
        <vt:i4>345</vt:i4>
      </vt:variant>
      <vt:variant>
        <vt:i4>0</vt:i4>
      </vt:variant>
      <vt:variant>
        <vt:i4>5</vt:i4>
      </vt:variant>
      <vt:variant>
        <vt:lpwstr>https://www.youtube.com/watch?v=vJJOrR6kcts</vt:lpwstr>
      </vt:variant>
      <vt:variant>
        <vt:lpwstr/>
      </vt:variant>
      <vt:variant>
        <vt:i4>3014756</vt:i4>
      </vt:variant>
      <vt:variant>
        <vt:i4>342</vt:i4>
      </vt:variant>
      <vt:variant>
        <vt:i4>0</vt:i4>
      </vt:variant>
      <vt:variant>
        <vt:i4>5</vt:i4>
      </vt:variant>
      <vt:variant>
        <vt:lpwstr>https://www.sciencedirect.com/science/article/abs/pii/S0013935121007994</vt:lpwstr>
      </vt:variant>
      <vt:variant>
        <vt:lpwstr/>
      </vt:variant>
      <vt:variant>
        <vt:i4>7471136</vt:i4>
      </vt:variant>
      <vt:variant>
        <vt:i4>339</vt:i4>
      </vt:variant>
      <vt:variant>
        <vt:i4>0</vt:i4>
      </vt:variant>
      <vt:variant>
        <vt:i4>5</vt:i4>
      </vt:variant>
      <vt:variant>
        <vt:lpwstr>https://www.eea.europa.eu/highlights/radiation-risk-from-everyday-devices-assessed</vt:lpwstr>
      </vt:variant>
      <vt:variant>
        <vt:lpwstr/>
      </vt:variant>
      <vt:variant>
        <vt:i4>4587610</vt:i4>
      </vt:variant>
      <vt:variant>
        <vt:i4>336</vt:i4>
      </vt:variant>
      <vt:variant>
        <vt:i4>0</vt:i4>
      </vt:variant>
      <vt:variant>
        <vt:i4>5</vt:i4>
      </vt:variant>
      <vt:variant>
        <vt:lpwstr>https://www.bing.com/search?q=does+RF-EMF+impact+te+DT50+of+molecular+%3F&amp;qs=n&amp;form=QBRE&amp;sp=-1&amp;lq=0&amp;pq=does+rf-emf+impact+te+dt50+of+molecular+%3F&amp;sc=0-41&amp;sk=&amp;cvid=B282D02F05864662AA0C496F5206549A&amp;ghsh=0&amp;ghacc=0&amp;ghpl=</vt:lpwstr>
      </vt:variant>
      <vt:variant>
        <vt:lpwstr/>
      </vt:variant>
      <vt:variant>
        <vt:i4>4980827</vt:i4>
      </vt:variant>
      <vt:variant>
        <vt:i4>333</vt:i4>
      </vt:variant>
      <vt:variant>
        <vt:i4>0</vt:i4>
      </vt:variant>
      <vt:variant>
        <vt:i4>5</vt:i4>
      </vt:variant>
      <vt:variant>
        <vt:lpwstr>https://pubmed.ncbi.nlm.nih.gov/?term=EMF+nitrosating+stress</vt:lpwstr>
      </vt:variant>
      <vt:variant>
        <vt:lpwstr/>
      </vt:variant>
      <vt:variant>
        <vt:i4>2949156</vt:i4>
      </vt:variant>
      <vt:variant>
        <vt:i4>330</vt:i4>
      </vt:variant>
      <vt:variant>
        <vt:i4>0</vt:i4>
      </vt:variant>
      <vt:variant>
        <vt:i4>5</vt:i4>
      </vt:variant>
      <vt:variant>
        <vt:lpwstr>https://www.sciencedirect.com/science/article/abs/pii/S1773035X20301611</vt:lpwstr>
      </vt:variant>
      <vt:variant>
        <vt:lpwstr/>
      </vt:variant>
      <vt:variant>
        <vt:i4>458759</vt:i4>
      </vt:variant>
      <vt:variant>
        <vt:i4>327</vt:i4>
      </vt:variant>
      <vt:variant>
        <vt:i4>0</vt:i4>
      </vt:variant>
      <vt:variant>
        <vt:i4>5</vt:i4>
      </vt:variant>
      <vt:variant>
        <vt:lpwstr>https://pubmed.ncbi.nlm.nih.gov/34485223/</vt:lpwstr>
      </vt:variant>
      <vt:variant>
        <vt:lpwstr/>
      </vt:variant>
      <vt:variant>
        <vt:i4>458767</vt:i4>
      </vt:variant>
      <vt:variant>
        <vt:i4>324</vt:i4>
      </vt:variant>
      <vt:variant>
        <vt:i4>0</vt:i4>
      </vt:variant>
      <vt:variant>
        <vt:i4>5</vt:i4>
      </vt:variant>
      <vt:variant>
        <vt:lpwstr>https://pubmed.ncbi.nlm.nih.gov/24192494/</vt:lpwstr>
      </vt:variant>
      <vt:variant>
        <vt:lpwstr/>
      </vt:variant>
      <vt:variant>
        <vt:i4>131081</vt:i4>
      </vt:variant>
      <vt:variant>
        <vt:i4>321</vt:i4>
      </vt:variant>
      <vt:variant>
        <vt:i4>0</vt:i4>
      </vt:variant>
      <vt:variant>
        <vt:i4>5</vt:i4>
      </vt:variant>
      <vt:variant>
        <vt:lpwstr>https://pubmed.ncbi.nlm.nih.gov/32289567/</vt:lpwstr>
      </vt:variant>
      <vt:variant>
        <vt:lpwstr/>
      </vt:variant>
      <vt:variant>
        <vt:i4>196612</vt:i4>
      </vt:variant>
      <vt:variant>
        <vt:i4>318</vt:i4>
      </vt:variant>
      <vt:variant>
        <vt:i4>0</vt:i4>
      </vt:variant>
      <vt:variant>
        <vt:i4>5</vt:i4>
      </vt:variant>
      <vt:variant>
        <vt:lpwstr>https://pubmed.ncbi.nlm.nih.gov/26372109/</vt:lpwstr>
      </vt:variant>
      <vt:variant>
        <vt:lpwstr/>
      </vt:variant>
      <vt:variant>
        <vt:i4>3735609</vt:i4>
      </vt:variant>
      <vt:variant>
        <vt:i4>315</vt:i4>
      </vt:variant>
      <vt:variant>
        <vt:i4>0</vt:i4>
      </vt:variant>
      <vt:variant>
        <vt:i4>5</vt:i4>
      </vt:variant>
      <vt:variant>
        <vt:lpwstr>https://www.youtube.com/watch?v=BFlWhZeFUKs</vt:lpwstr>
      </vt:variant>
      <vt:variant>
        <vt:lpwstr/>
      </vt:variant>
      <vt:variant>
        <vt:i4>2556023</vt:i4>
      </vt:variant>
      <vt:variant>
        <vt:i4>312</vt:i4>
      </vt:variant>
      <vt:variant>
        <vt:i4>0</vt:i4>
      </vt:variant>
      <vt:variant>
        <vt:i4>5</vt:i4>
      </vt:variant>
      <vt:variant>
        <vt:lpwstr>https://ehtrust.org/key-issues/cell-phoneswireless/autism-adhd-wireless-electromagnetic-fields/</vt:lpwstr>
      </vt:variant>
      <vt:variant>
        <vt:lpwstr/>
      </vt:variant>
      <vt:variant>
        <vt:i4>4456537</vt:i4>
      </vt:variant>
      <vt:variant>
        <vt:i4>309</vt:i4>
      </vt:variant>
      <vt:variant>
        <vt:i4>0</vt:i4>
      </vt:variant>
      <vt:variant>
        <vt:i4>5</vt:i4>
      </vt:variant>
      <vt:variant>
        <vt:lpwstr>https://www.autismone.org/sites/default/files/2017 Pall Martin slides general conference lecture.pdf</vt:lpwstr>
      </vt:variant>
      <vt:variant>
        <vt:lpwstr/>
      </vt:variant>
      <vt:variant>
        <vt:i4>2293816</vt:i4>
      </vt:variant>
      <vt:variant>
        <vt:i4>306</vt:i4>
      </vt:variant>
      <vt:variant>
        <vt:i4>0</vt:i4>
      </vt:variant>
      <vt:variant>
        <vt:i4>5</vt:i4>
      </vt:variant>
      <vt:variant>
        <vt:lpwstr>https://neurolaunch.com/emf-autism/</vt:lpwstr>
      </vt:variant>
      <vt:variant>
        <vt:lpwstr/>
      </vt:variant>
      <vt:variant>
        <vt:i4>2621546</vt:i4>
      </vt:variant>
      <vt:variant>
        <vt:i4>303</vt:i4>
      </vt:variant>
      <vt:variant>
        <vt:i4>0</vt:i4>
      </vt:variant>
      <vt:variant>
        <vt:i4>5</vt:i4>
      </vt:variant>
      <vt:variant>
        <vt:lpwstr>https://www.sciencedirect.com/science/article/abs/pii/S0928468013000382</vt:lpwstr>
      </vt:variant>
      <vt:variant>
        <vt:lpwstr/>
      </vt:variant>
      <vt:variant>
        <vt:i4>1179674</vt:i4>
      </vt:variant>
      <vt:variant>
        <vt:i4>300</vt:i4>
      </vt:variant>
      <vt:variant>
        <vt:i4>0</vt:i4>
      </vt:variant>
      <vt:variant>
        <vt:i4>5</vt:i4>
      </vt:variant>
      <vt:variant>
        <vt:lpwstr>https://pubmed.ncbi.nlm.nih.gov/24095003/</vt:lpwstr>
      </vt:variant>
      <vt:variant>
        <vt:lpwstr>:~:text=Although%20autism%20spectrum%20conditions%20%28ASCs%29%20are%20defined%20behaviorally%2C,impacts%20of%20electromagnetic%20frequency%20and%20radiofrequency%20exposures%20%28EMF%2FRFR%29.</vt:lpwstr>
      </vt:variant>
      <vt:variant>
        <vt:i4>720908</vt:i4>
      </vt:variant>
      <vt:variant>
        <vt:i4>297</vt:i4>
      </vt:variant>
      <vt:variant>
        <vt:i4>0</vt:i4>
      </vt:variant>
      <vt:variant>
        <vt:i4>5</vt:i4>
      </vt:variant>
      <vt:variant>
        <vt:lpwstr>https://pubmed.ncbi.nlm.nih.gov/32874440/</vt:lpwstr>
      </vt:variant>
      <vt:variant>
        <vt:lpwstr/>
      </vt:variant>
      <vt:variant>
        <vt:i4>2359346</vt:i4>
      </vt:variant>
      <vt:variant>
        <vt:i4>294</vt:i4>
      </vt:variant>
      <vt:variant>
        <vt:i4>0</vt:i4>
      </vt:variant>
      <vt:variant>
        <vt:i4>5</vt:i4>
      </vt:variant>
      <vt:variant>
        <vt:lpwstr>https://alerte-medecins-pesticides.fr/ressources/dossier-sdhi/</vt:lpwstr>
      </vt:variant>
      <vt:variant>
        <vt:lpwstr/>
      </vt:variant>
      <vt:variant>
        <vt:i4>2883678</vt:i4>
      </vt:variant>
      <vt:variant>
        <vt:i4>291</vt:i4>
      </vt:variant>
      <vt:variant>
        <vt:i4>0</vt:i4>
      </vt:variant>
      <vt:variant>
        <vt:i4>5</vt:i4>
      </vt:variant>
      <vt:variant>
        <vt:lpwstr>https://fr.wikipedia.org/wiki/Maladies_mitochondriales</vt:lpwstr>
      </vt:variant>
      <vt:variant>
        <vt:lpwstr/>
      </vt:variant>
      <vt:variant>
        <vt:i4>4456495</vt:i4>
      </vt:variant>
      <vt:variant>
        <vt:i4>288</vt:i4>
      </vt:variant>
      <vt:variant>
        <vt:i4>0</vt:i4>
      </vt:variant>
      <vt:variant>
        <vt:i4>5</vt:i4>
      </vt:variant>
      <vt:variant>
        <vt:lpwstr>https://fr.wikipedia.org/wiki/Maladies_neurod%C3%A9g%C3%A9n%C3%A9ratives</vt:lpwstr>
      </vt:variant>
      <vt:variant>
        <vt:lpwstr/>
      </vt:variant>
      <vt:variant>
        <vt:i4>6094888</vt:i4>
      </vt:variant>
      <vt:variant>
        <vt:i4>285</vt:i4>
      </vt:variant>
      <vt:variant>
        <vt:i4>0</vt:i4>
      </vt:variant>
      <vt:variant>
        <vt:i4>5</vt:i4>
      </vt:variant>
      <vt:variant>
        <vt:lpwstr>https://fr.wikipedia.org/wiki/Bicouche_lipidique</vt:lpwstr>
      </vt:variant>
      <vt:variant>
        <vt:lpwstr/>
      </vt:variant>
      <vt:variant>
        <vt:i4>7143432</vt:i4>
      </vt:variant>
      <vt:variant>
        <vt:i4>282</vt:i4>
      </vt:variant>
      <vt:variant>
        <vt:i4>0</vt:i4>
      </vt:variant>
      <vt:variant>
        <vt:i4>5</vt:i4>
      </vt:variant>
      <vt:variant>
        <vt:lpwstr>https://fr.wikipedia.org/wiki/Coenzyme_Q10</vt:lpwstr>
      </vt:variant>
      <vt:variant>
        <vt:lpwstr/>
      </vt:variant>
      <vt:variant>
        <vt:i4>6815766</vt:i4>
      </vt:variant>
      <vt:variant>
        <vt:i4>279</vt:i4>
      </vt:variant>
      <vt:variant>
        <vt:i4>0</vt:i4>
      </vt:variant>
      <vt:variant>
        <vt:i4>5</vt:i4>
      </vt:variant>
      <vt:variant>
        <vt:lpwstr>https://fr.wikipedia.org/wiki/Matrice_mitochondriale</vt:lpwstr>
      </vt:variant>
      <vt:variant>
        <vt:lpwstr/>
      </vt:variant>
      <vt:variant>
        <vt:i4>327807</vt:i4>
      </vt:variant>
      <vt:variant>
        <vt:i4>276</vt:i4>
      </vt:variant>
      <vt:variant>
        <vt:i4>0</vt:i4>
      </vt:variant>
      <vt:variant>
        <vt:i4>5</vt:i4>
      </vt:variant>
      <vt:variant>
        <vt:lpwstr>https://fr.wikipedia.org/wiki/Acide_succinique</vt:lpwstr>
      </vt:variant>
      <vt:variant>
        <vt:lpwstr/>
      </vt:variant>
      <vt:variant>
        <vt:i4>8060944</vt:i4>
      </vt:variant>
      <vt:variant>
        <vt:i4>273</vt:i4>
      </vt:variant>
      <vt:variant>
        <vt:i4>0</vt:i4>
      </vt:variant>
      <vt:variant>
        <vt:i4>5</vt:i4>
      </vt:variant>
      <vt:variant>
        <vt:lpwstr>https://fr.wikipedia.org/wiki/Respiration_cellulaire</vt:lpwstr>
      </vt:variant>
      <vt:variant>
        <vt:lpwstr/>
      </vt:variant>
      <vt:variant>
        <vt:i4>1769479</vt:i4>
      </vt:variant>
      <vt:variant>
        <vt:i4>270</vt:i4>
      </vt:variant>
      <vt:variant>
        <vt:i4>0</vt:i4>
      </vt:variant>
      <vt:variant>
        <vt:i4>5</vt:i4>
      </vt:variant>
      <vt:variant>
        <vt:lpwstr>https://fr.wikipedia.org/wiki/Succinate_d%C3%A9shydrog%C3%A9nase</vt:lpwstr>
      </vt:variant>
      <vt:variant>
        <vt:lpwstr>cite_note-10.1074/jbc.M311876200-3</vt:lpwstr>
      </vt:variant>
      <vt:variant>
        <vt:i4>393334</vt:i4>
      </vt:variant>
      <vt:variant>
        <vt:i4>267</vt:i4>
      </vt:variant>
      <vt:variant>
        <vt:i4>0</vt:i4>
      </vt:variant>
      <vt:variant>
        <vt:i4>5</vt:i4>
      </vt:variant>
      <vt:variant>
        <vt:lpwstr>https://fr.wikipedia.org/wiki/Phosphorylation_oxydative</vt:lpwstr>
      </vt:variant>
      <vt:variant>
        <vt:lpwstr/>
      </vt:variant>
      <vt:variant>
        <vt:i4>3473498</vt:i4>
      </vt:variant>
      <vt:variant>
        <vt:i4>264</vt:i4>
      </vt:variant>
      <vt:variant>
        <vt:i4>0</vt:i4>
      </vt:variant>
      <vt:variant>
        <vt:i4>5</vt:i4>
      </vt:variant>
      <vt:variant>
        <vt:lpwstr>https://fr.wikipedia.org/wiki/Cha%C3%AEne_de_transport_d%27%C3%A9lectrons</vt:lpwstr>
      </vt:variant>
      <vt:variant>
        <vt:lpwstr/>
      </vt:variant>
      <vt:variant>
        <vt:i4>6488121</vt:i4>
      </vt:variant>
      <vt:variant>
        <vt:i4>261</vt:i4>
      </vt:variant>
      <vt:variant>
        <vt:i4>0</vt:i4>
      </vt:variant>
      <vt:variant>
        <vt:i4>5</vt:i4>
      </vt:variant>
      <vt:variant>
        <vt:lpwstr>https://fr.wikipedia.org/wiki/Cycle_de_Krebs</vt:lpwstr>
      </vt:variant>
      <vt:variant>
        <vt:lpwstr/>
      </vt:variant>
      <vt:variant>
        <vt:i4>4194331</vt:i4>
      </vt:variant>
      <vt:variant>
        <vt:i4>258</vt:i4>
      </vt:variant>
      <vt:variant>
        <vt:i4>0</vt:i4>
      </vt:variant>
      <vt:variant>
        <vt:i4>5</vt:i4>
      </vt:variant>
      <vt:variant>
        <vt:lpwstr>https://fr.wikipedia.org/wiki/Mammif%C3%A8re</vt:lpwstr>
      </vt:variant>
      <vt:variant>
        <vt:lpwstr/>
      </vt:variant>
      <vt:variant>
        <vt:i4>2621548</vt:i4>
      </vt:variant>
      <vt:variant>
        <vt:i4>255</vt:i4>
      </vt:variant>
      <vt:variant>
        <vt:i4>0</vt:i4>
      </vt:variant>
      <vt:variant>
        <vt:i4>5</vt:i4>
      </vt:variant>
      <vt:variant>
        <vt:lpwstr>https://fr.wikipedia.org/wiki/Eucaryote</vt:lpwstr>
      </vt:variant>
      <vt:variant>
        <vt:lpwstr/>
      </vt:variant>
      <vt:variant>
        <vt:i4>8126509</vt:i4>
      </vt:variant>
      <vt:variant>
        <vt:i4>252</vt:i4>
      </vt:variant>
      <vt:variant>
        <vt:i4>0</vt:i4>
      </vt:variant>
      <vt:variant>
        <vt:i4>5</vt:i4>
      </vt:variant>
      <vt:variant>
        <vt:lpwstr>https://fr.wikipedia.org/wiki/Membrane_mitochondriale_interne</vt:lpwstr>
      </vt:variant>
      <vt:variant>
        <vt:lpwstr/>
      </vt:variant>
      <vt:variant>
        <vt:i4>3276915</vt:i4>
      </vt:variant>
      <vt:variant>
        <vt:i4>249</vt:i4>
      </vt:variant>
      <vt:variant>
        <vt:i4>0</vt:i4>
      </vt:variant>
      <vt:variant>
        <vt:i4>5</vt:i4>
      </vt:variant>
      <vt:variant>
        <vt:lpwstr>https://fr.wikipedia.org/wiki/Bact%C3%A9rie</vt:lpwstr>
      </vt:variant>
      <vt:variant>
        <vt:lpwstr/>
      </vt:variant>
      <vt:variant>
        <vt:i4>5898295</vt:i4>
      </vt:variant>
      <vt:variant>
        <vt:i4>246</vt:i4>
      </vt:variant>
      <vt:variant>
        <vt:i4>0</vt:i4>
      </vt:variant>
      <vt:variant>
        <vt:i4>5</vt:i4>
      </vt:variant>
      <vt:variant>
        <vt:lpwstr>https://fr.wikipedia.org/wiki/Membrane_plasmique</vt:lpwstr>
      </vt:variant>
      <vt:variant>
        <vt:lpwstr/>
      </vt:variant>
      <vt:variant>
        <vt:i4>4390917</vt:i4>
      </vt:variant>
      <vt:variant>
        <vt:i4>243</vt:i4>
      </vt:variant>
      <vt:variant>
        <vt:i4>0</vt:i4>
      </vt:variant>
      <vt:variant>
        <vt:i4>5</vt:i4>
      </vt:variant>
      <vt:variant>
        <vt:lpwstr>https://fr.wikipedia.org/wiki/Enzyme</vt:lpwstr>
      </vt:variant>
      <vt:variant>
        <vt:lpwstr/>
      </vt:variant>
      <vt:variant>
        <vt:i4>4849685</vt:i4>
      </vt:variant>
      <vt:variant>
        <vt:i4>240</vt:i4>
      </vt:variant>
      <vt:variant>
        <vt:i4>0</vt:i4>
      </vt:variant>
      <vt:variant>
        <vt:i4>5</vt:i4>
      </vt:variant>
      <vt:variant>
        <vt:lpwstr>https://www.google.fr/search?q=celle+membrane+emfields&amp;sca_esv=87a7aed352751b89&amp;source=hp&amp;ei=kidwZ-HVF-f4kdUP-Yyl8AQ&amp;iflsig=AL9hbdgAAAAAZ3A1ok61z8swd32WuaKRAeGWabcympy3&amp;oq=celle+membrane+EMField&amp;gs_lp=Egdnd3Mtd2l6IhZjZWxsZSBtZW1icmFuZSBFTUZpZWxkKgIIATIHECEYoAEYCjIHECEYoAEYCjIFECEYnwUyBRAhGJ8FMgUQIRifBUjAWlAAWN05cAB4AJABAJgBaaAB1AyqAQQyMS4xuAEByAEA-AEBmAIWoAKTD8ICERAuGIAEGLEDGNEDGIMBGMcBwgIIEAAYgAQYsQPCAg4QLhiABBixAxjRAxjHAcICCxAAGIAEGLEDGIMBwgIFEAAYgATCAhEQLhiABBixAxjHARiOBRivAcICDhAuGIAEGMcBGI4FGK8BwgILEC4YgAQYsQMYgwHCAg4QABiABBixAxiDARjJA8ICBRAuGIAEwgIIEC4YgAQYsQPCAgsQABiABBiSAxi4BMICCBAAGIAEGJIDwgIXEC4YgAQYsQMYgwEY1AIYxwEYjgUYrwHCAgQQABgDwgIHEAAYgAQYCsICEBAuGIAEGMcBGAoYjgUYrwHCAgYQABgWGB7CAgcQABiABBgNwgIGEAAYDRgewgIIEAAYFhgKGB7CAggQABiABBiiBMICBRAhGKABmAMAkgcEMTguNKAHlsgB&amp;sclient=gws-wiz</vt:lpwstr>
      </vt:variant>
      <vt:variant>
        <vt:lpwstr/>
      </vt:variant>
      <vt:variant>
        <vt:i4>983041</vt:i4>
      </vt:variant>
      <vt:variant>
        <vt:i4>237</vt:i4>
      </vt:variant>
      <vt:variant>
        <vt:i4>0</vt:i4>
      </vt:variant>
      <vt:variant>
        <vt:i4>5</vt:i4>
      </vt:variant>
      <vt:variant>
        <vt:lpwstr>https://pubmed.ncbi.nlm.nih.gov/34574442/</vt:lpwstr>
      </vt:variant>
      <vt:variant>
        <vt:lpwstr/>
      </vt:variant>
      <vt:variant>
        <vt:i4>3276857</vt:i4>
      </vt:variant>
      <vt:variant>
        <vt:i4>234</vt:i4>
      </vt:variant>
      <vt:variant>
        <vt:i4>0</vt:i4>
      </vt:variant>
      <vt:variant>
        <vt:i4>5</vt:i4>
      </vt:variant>
      <vt:variant>
        <vt:lpwstr>https://www.researchgate.net/scientific-contributions/Vanessa-Joubert-13370296</vt:lpwstr>
      </vt:variant>
      <vt:variant>
        <vt:lpwstr/>
      </vt:variant>
      <vt:variant>
        <vt:i4>5242897</vt:i4>
      </vt:variant>
      <vt:variant>
        <vt:i4>231</vt:i4>
      </vt:variant>
      <vt:variant>
        <vt:i4>0</vt:i4>
      </vt:variant>
      <vt:variant>
        <vt:i4>5</vt:i4>
      </vt:variant>
      <vt:variant>
        <vt:lpwstr>https://cdn.unilim.fr/files/theses-doctorat/2006LIMO100F.pdf</vt:lpwstr>
      </vt:variant>
      <vt:variant>
        <vt:lpwstr/>
      </vt:variant>
      <vt:variant>
        <vt:i4>524292</vt:i4>
      </vt:variant>
      <vt:variant>
        <vt:i4>228</vt:i4>
      </vt:variant>
      <vt:variant>
        <vt:i4>0</vt:i4>
      </vt:variant>
      <vt:variant>
        <vt:i4>5</vt:i4>
      </vt:variant>
      <vt:variant>
        <vt:lpwstr>https://pubmed.ncbi.nlm.nih.gov/27454111/</vt:lpwstr>
      </vt:variant>
      <vt:variant>
        <vt:lpwstr/>
      </vt:variant>
      <vt:variant>
        <vt:i4>262153</vt:i4>
      </vt:variant>
      <vt:variant>
        <vt:i4>225</vt:i4>
      </vt:variant>
      <vt:variant>
        <vt:i4>0</vt:i4>
      </vt:variant>
      <vt:variant>
        <vt:i4>5</vt:i4>
      </vt:variant>
      <vt:variant>
        <vt:lpwstr>https://pubmed.ncbi.nlm.nih.gov/37159854/</vt:lpwstr>
      </vt:variant>
      <vt:variant>
        <vt:lpwstr/>
      </vt:variant>
      <vt:variant>
        <vt:i4>851978</vt:i4>
      </vt:variant>
      <vt:variant>
        <vt:i4>222</vt:i4>
      </vt:variant>
      <vt:variant>
        <vt:i4>0</vt:i4>
      </vt:variant>
      <vt:variant>
        <vt:i4>5</vt:i4>
      </vt:variant>
      <vt:variant>
        <vt:lpwstr>https://pubmed.ncbi.nlm.nih.gov/27412293/</vt:lpwstr>
      </vt:variant>
      <vt:variant>
        <vt:lpwstr/>
      </vt:variant>
      <vt:variant>
        <vt:i4>3014756</vt:i4>
      </vt:variant>
      <vt:variant>
        <vt:i4>219</vt:i4>
      </vt:variant>
      <vt:variant>
        <vt:i4>0</vt:i4>
      </vt:variant>
      <vt:variant>
        <vt:i4>5</vt:i4>
      </vt:variant>
      <vt:variant>
        <vt:lpwstr>https://www.sciencedirect.com/science/article/abs/pii/S0013935121007994</vt:lpwstr>
      </vt:variant>
      <vt:variant>
        <vt:lpwstr/>
      </vt:variant>
      <vt:variant>
        <vt:i4>655368</vt:i4>
      </vt:variant>
      <vt:variant>
        <vt:i4>216</vt:i4>
      </vt:variant>
      <vt:variant>
        <vt:i4>0</vt:i4>
      </vt:variant>
      <vt:variant>
        <vt:i4>5</vt:i4>
      </vt:variant>
      <vt:variant>
        <vt:lpwstr>https://pubmed.ncbi.nlm.nih.gov/29530389/</vt:lpwstr>
      </vt:variant>
      <vt:variant>
        <vt:lpwstr/>
      </vt:variant>
      <vt:variant>
        <vt:i4>262144</vt:i4>
      </vt:variant>
      <vt:variant>
        <vt:i4>213</vt:i4>
      </vt:variant>
      <vt:variant>
        <vt:i4>0</vt:i4>
      </vt:variant>
      <vt:variant>
        <vt:i4>5</vt:i4>
      </vt:variant>
      <vt:variant>
        <vt:lpwstr>https://pubmed.ncbi.nlm.nih.gov/30365129/</vt:lpwstr>
      </vt:variant>
      <vt:variant>
        <vt:lpwstr/>
      </vt:variant>
      <vt:variant>
        <vt:i4>2162809</vt:i4>
      </vt:variant>
      <vt:variant>
        <vt:i4>210</vt:i4>
      </vt:variant>
      <vt:variant>
        <vt:i4>0</vt:i4>
      </vt:variant>
      <vt:variant>
        <vt:i4>5</vt:i4>
      </vt:variant>
      <vt:variant>
        <vt:lpwstr>http://www.nlm.nih.gov/medlineplus/acousticneuroma.html</vt:lpwstr>
      </vt:variant>
      <vt:variant>
        <vt:lpwstr/>
      </vt:variant>
      <vt:variant>
        <vt:i4>6029373</vt:i4>
      </vt:variant>
      <vt:variant>
        <vt:i4>207</vt:i4>
      </vt:variant>
      <vt:variant>
        <vt:i4>0</vt:i4>
      </vt:variant>
      <vt:variant>
        <vt:i4>5</vt:i4>
      </vt:variant>
      <vt:variant>
        <vt:lpwstr>http://www.sfn.org/index.aspx?pagename=brainbriefings_gliomabraintumors</vt:lpwstr>
      </vt:variant>
      <vt:variant>
        <vt:lpwstr/>
      </vt:variant>
      <vt:variant>
        <vt:i4>1704006</vt:i4>
      </vt:variant>
      <vt:variant>
        <vt:i4>204</vt:i4>
      </vt:variant>
      <vt:variant>
        <vt:i4>0</vt:i4>
      </vt:variant>
      <vt:variant>
        <vt:i4>5</vt:i4>
      </vt:variant>
      <vt:variant>
        <vt:lpwstr>https://microwavenews.com/news-center/iarc-cell-phone-radiation-possible-human-carcinogen</vt:lpwstr>
      </vt:variant>
      <vt:variant>
        <vt:lpwstr/>
      </vt:variant>
      <vt:variant>
        <vt:i4>131088</vt:i4>
      </vt:variant>
      <vt:variant>
        <vt:i4>201</vt:i4>
      </vt:variant>
      <vt:variant>
        <vt:i4>0</vt:i4>
      </vt:variant>
      <vt:variant>
        <vt:i4>5</vt:i4>
      </vt:variant>
      <vt:variant>
        <vt:lpwstr>http://www.iarc.fr/en/about/directorscorner/index.php</vt:lpwstr>
      </vt:variant>
      <vt:variant>
        <vt:lpwstr/>
      </vt:variant>
      <vt:variant>
        <vt:i4>4456452</vt:i4>
      </vt:variant>
      <vt:variant>
        <vt:i4>198</vt:i4>
      </vt:variant>
      <vt:variant>
        <vt:i4>0</vt:i4>
      </vt:variant>
      <vt:variant>
        <vt:i4>5</vt:i4>
      </vt:variant>
      <vt:variant>
        <vt:lpwstr>http://www.iarc.fr/en/media-centre/iarcnews/2011/monograph102.php</vt:lpwstr>
      </vt:variant>
      <vt:variant>
        <vt:lpwstr/>
      </vt:variant>
      <vt:variant>
        <vt:i4>4522060</vt:i4>
      </vt:variant>
      <vt:variant>
        <vt:i4>195</vt:i4>
      </vt:variant>
      <vt:variant>
        <vt:i4>0</vt:i4>
      </vt:variant>
      <vt:variant>
        <vt:i4>5</vt:i4>
      </vt:variant>
      <vt:variant>
        <vt:lpwstr>https://microwavenews.com/news-center/iarc-rf-cancer-review-ahlbom-affair</vt:lpwstr>
      </vt:variant>
      <vt:variant>
        <vt:lpwstr/>
      </vt:variant>
      <vt:variant>
        <vt:i4>2556002</vt:i4>
      </vt:variant>
      <vt:variant>
        <vt:i4>192</vt:i4>
      </vt:variant>
      <vt:variant>
        <vt:i4>0</vt:i4>
      </vt:variant>
      <vt:variant>
        <vt:i4>5</vt:i4>
      </vt:variant>
      <vt:variant>
        <vt:lpwstr>http://www.ehs-mcs.org/fichiers/1368798016_publication_ABC.pdf</vt:lpwstr>
      </vt:variant>
      <vt:variant>
        <vt:lpwstr/>
      </vt:variant>
      <vt:variant>
        <vt:i4>458760</vt:i4>
      </vt:variant>
      <vt:variant>
        <vt:i4>189</vt:i4>
      </vt:variant>
      <vt:variant>
        <vt:i4>0</vt:i4>
      </vt:variant>
      <vt:variant>
        <vt:i4>5</vt:i4>
      </vt:variant>
      <vt:variant>
        <vt:lpwstr>https://pubmed.ncbi.nlm.nih.gov/25598203/</vt:lpwstr>
      </vt:variant>
      <vt:variant>
        <vt:lpwstr/>
      </vt:variant>
      <vt:variant>
        <vt:i4>917505</vt:i4>
      </vt:variant>
      <vt:variant>
        <vt:i4>186</vt:i4>
      </vt:variant>
      <vt:variant>
        <vt:i4>0</vt:i4>
      </vt:variant>
      <vt:variant>
        <vt:i4>5</vt:i4>
      </vt:variant>
      <vt:variant>
        <vt:lpwstr>https://pubmed.ncbi.nlm.nih.gov/38557178/</vt:lpwstr>
      </vt:variant>
      <vt:variant>
        <vt:lpwstr/>
      </vt:variant>
      <vt:variant>
        <vt:i4>3407932</vt:i4>
      </vt:variant>
      <vt:variant>
        <vt:i4>183</vt:i4>
      </vt:variant>
      <vt:variant>
        <vt:i4>0</vt:i4>
      </vt:variant>
      <vt:variant>
        <vt:i4>5</vt:i4>
      </vt:variant>
      <vt:variant>
        <vt:lpwstr>https://www.bing.com/search?q=von+klitzing+sleep+&amp;qs=n&amp;form=QBRE&amp;sp=-1&amp;ghc=1&amp;lq=0&amp;pq=von+klitzing+sleep+&amp;sc=7-19&amp;sk=&amp;cvid=ACC0A8E3B32E4823AE223D2239B22BE0&amp;ghsh=0&amp;ghacc=0&amp;ghpl=</vt:lpwstr>
      </vt:variant>
      <vt:variant>
        <vt:lpwstr/>
      </vt:variant>
      <vt:variant>
        <vt:i4>8257651</vt:i4>
      </vt:variant>
      <vt:variant>
        <vt:i4>180</vt:i4>
      </vt:variant>
      <vt:variant>
        <vt:i4>0</vt:i4>
      </vt:variant>
      <vt:variant>
        <vt:i4>5</vt:i4>
      </vt:variant>
      <vt:variant>
        <vt:lpwstr>https://emfacademy.com/emf-radiation-and-sleep/</vt:lpwstr>
      </vt:variant>
      <vt:variant>
        <vt:lpwstr/>
      </vt:variant>
      <vt:variant>
        <vt:i4>7340144</vt:i4>
      </vt:variant>
      <vt:variant>
        <vt:i4>177</vt:i4>
      </vt:variant>
      <vt:variant>
        <vt:i4>0</vt:i4>
      </vt:variant>
      <vt:variant>
        <vt:i4>5</vt:i4>
      </vt:variant>
      <vt:variant>
        <vt:lpwstr>https://www.researchgate.net/publication/385348976_Does_radiofrequency_radiation_impact_sleep_A_double-blind_randomised_placebo-controlled_crossover_pilot_study</vt:lpwstr>
      </vt:variant>
      <vt:variant>
        <vt:lpwstr/>
      </vt:variant>
      <vt:variant>
        <vt:i4>524303</vt:i4>
      </vt:variant>
      <vt:variant>
        <vt:i4>174</vt:i4>
      </vt:variant>
      <vt:variant>
        <vt:i4>0</vt:i4>
      </vt:variant>
      <vt:variant>
        <vt:i4>5</vt:i4>
      </vt:variant>
      <vt:variant>
        <vt:lpwstr>https://pubmed.ncbi.nlm.nih.gov/37807247/</vt:lpwstr>
      </vt:variant>
      <vt:variant>
        <vt:lpwstr/>
      </vt:variant>
      <vt:variant>
        <vt:i4>7012353</vt:i4>
      </vt:variant>
      <vt:variant>
        <vt:i4>171</vt:i4>
      </vt:variant>
      <vt:variant>
        <vt:i4>0</vt:i4>
      </vt:variant>
      <vt:variant>
        <vt:i4>5</vt:i4>
      </vt:variant>
      <vt:variant>
        <vt:lpwstr>https://www.bing.com/search?q=dysbiosis+of+the+gut+microbiota+RF-EMF&amp;cvid=db638ba07f0e4d83aaca483cba857729&amp;gs_lcrp=EgRlZGdlKgYIABBFGDkyBggAEEUYOTIGCAEQABhAMgYIAhAAGEAyBggDEAAYQDIGCAQQABhAMgYIBRAAGEDSAQgzNTA5ajBqOagCCLACAQ&amp;FORM=ANAB01&amp;PC=U531</vt:lpwstr>
      </vt:variant>
      <vt:variant>
        <vt:lpwstr/>
      </vt:variant>
      <vt:variant>
        <vt:i4>4849669</vt:i4>
      </vt:variant>
      <vt:variant>
        <vt:i4>168</vt:i4>
      </vt:variant>
      <vt:variant>
        <vt:i4>0</vt:i4>
      </vt:variant>
      <vt:variant>
        <vt:i4>5</vt:i4>
      </vt:variant>
      <vt:variant>
        <vt:lpwstr>https://www.researchsquare.com/article/rs-1276651/v1</vt:lpwstr>
      </vt:variant>
      <vt:variant>
        <vt:lpwstr/>
      </vt:variant>
      <vt:variant>
        <vt:i4>6291576</vt:i4>
      </vt:variant>
      <vt:variant>
        <vt:i4>165</vt:i4>
      </vt:variant>
      <vt:variant>
        <vt:i4>0</vt:i4>
      </vt:variant>
      <vt:variant>
        <vt:i4>5</vt:i4>
      </vt:variant>
      <vt:variant>
        <vt:lpwstr>https://www.sciencedirect.com/science/article/pii/S0079610718301007</vt:lpwstr>
      </vt:variant>
      <vt:variant>
        <vt:lpwstr/>
      </vt:variant>
      <vt:variant>
        <vt:i4>1572894</vt:i4>
      </vt:variant>
      <vt:variant>
        <vt:i4>162</vt:i4>
      </vt:variant>
      <vt:variant>
        <vt:i4>0</vt:i4>
      </vt:variant>
      <vt:variant>
        <vt:i4>5</vt:i4>
      </vt:variant>
      <vt:variant>
        <vt:lpwstr>https://pmc.ncbi.nlm.nih.gov/articles/PMC6025786/</vt:lpwstr>
      </vt:variant>
      <vt:variant>
        <vt:lpwstr/>
      </vt:variant>
      <vt:variant>
        <vt:i4>3342447</vt:i4>
      </vt:variant>
      <vt:variant>
        <vt:i4>159</vt:i4>
      </vt:variant>
      <vt:variant>
        <vt:i4>0</vt:i4>
      </vt:variant>
      <vt:variant>
        <vt:i4>5</vt:i4>
      </vt:variant>
      <vt:variant>
        <vt:lpwstr>https://onlinelibrary.wiley.com/doi/full/10.1111/jcmm.12088</vt:lpwstr>
      </vt:variant>
      <vt:variant>
        <vt:lpwstr/>
      </vt:variant>
      <vt:variant>
        <vt:i4>262238</vt:i4>
      </vt:variant>
      <vt:variant>
        <vt:i4>156</vt:i4>
      </vt:variant>
      <vt:variant>
        <vt:i4>0</vt:i4>
      </vt:variant>
      <vt:variant>
        <vt:i4>5</vt:i4>
      </vt:variant>
      <vt:variant>
        <vt:lpwstr>https://nyaspubs.onlinelibrary.wiley.com/doi/full/10.1111/nyas.14597</vt:lpwstr>
      </vt:variant>
      <vt:variant>
        <vt:lpwstr/>
      </vt:variant>
      <vt:variant>
        <vt:i4>983040</vt:i4>
      </vt:variant>
      <vt:variant>
        <vt:i4>153</vt:i4>
      </vt:variant>
      <vt:variant>
        <vt:i4>0</vt:i4>
      </vt:variant>
      <vt:variant>
        <vt:i4>5</vt:i4>
      </vt:variant>
      <vt:variant>
        <vt:lpwstr>https://pubmed.ncbi.nlm.nih.gov/14603534/</vt:lpwstr>
      </vt:variant>
      <vt:variant>
        <vt:lpwstr/>
      </vt:variant>
      <vt:variant>
        <vt:i4>5636126</vt:i4>
      </vt:variant>
      <vt:variant>
        <vt:i4>150</vt:i4>
      </vt:variant>
      <vt:variant>
        <vt:i4>0</vt:i4>
      </vt:variant>
      <vt:variant>
        <vt:i4>5</vt:i4>
      </vt:variant>
      <vt:variant>
        <vt:lpwstr>https://www.mdpi.com/1422-0067/15/4/5366</vt:lpwstr>
      </vt:variant>
      <vt:variant>
        <vt:lpwstr/>
      </vt:variant>
      <vt:variant>
        <vt:i4>4128895</vt:i4>
      </vt:variant>
      <vt:variant>
        <vt:i4>147</vt:i4>
      </vt:variant>
      <vt:variant>
        <vt:i4>0</vt:i4>
      </vt:variant>
      <vt:variant>
        <vt:i4>5</vt:i4>
      </vt:variant>
      <vt:variant>
        <vt:lpwstr>https://www.bing.com/search?q=RF-EMF+potentiation+&amp;qs=n&amp;form=QBRE&amp;sp=-1&amp;lq=0&amp;pq=rf-emf+potentiation+&amp;sc=9-20&amp;sk=&amp;cvid=866FBAD7F84F402C8CFC2836BCDDA489&amp;ghsh=0&amp;ghacc=0&amp;ghpl=</vt:lpwstr>
      </vt:variant>
      <vt:variant>
        <vt:lpwstr/>
      </vt:variant>
      <vt:variant>
        <vt:i4>983045</vt:i4>
      </vt:variant>
      <vt:variant>
        <vt:i4>144</vt:i4>
      </vt:variant>
      <vt:variant>
        <vt:i4>0</vt:i4>
      </vt:variant>
      <vt:variant>
        <vt:i4>5</vt:i4>
      </vt:variant>
      <vt:variant>
        <vt:lpwstr>https://pubmed.ncbi.nlm.nih.gov/27012122/</vt:lpwstr>
      </vt:variant>
      <vt:variant>
        <vt:lpwstr/>
      </vt:variant>
      <vt:variant>
        <vt:i4>6291576</vt:i4>
      </vt:variant>
      <vt:variant>
        <vt:i4>141</vt:i4>
      </vt:variant>
      <vt:variant>
        <vt:i4>0</vt:i4>
      </vt:variant>
      <vt:variant>
        <vt:i4>5</vt:i4>
      </vt:variant>
      <vt:variant>
        <vt:lpwstr>https://www.sciencedirect.com/science/article/pii/S0079610718301007</vt:lpwstr>
      </vt:variant>
      <vt:variant>
        <vt:lpwstr/>
      </vt:variant>
      <vt:variant>
        <vt:i4>4587549</vt:i4>
      </vt:variant>
      <vt:variant>
        <vt:i4>138</vt:i4>
      </vt:variant>
      <vt:variant>
        <vt:i4>0</vt:i4>
      </vt:variant>
      <vt:variant>
        <vt:i4>5</vt:i4>
      </vt:variant>
      <vt:variant>
        <vt:lpwstr>https://www.sciencedirect.com/science/article/pii/S0361923024002247</vt:lpwstr>
      </vt:variant>
      <vt:variant>
        <vt:lpwstr>:~:text=EMF%20exposure%20affects%20epigenetic%20and%20non-epigenetic%20regulation%20of,EMF%20exposure%20changes%20synaptic%20transmission%20and%20glial%20function.</vt:lpwstr>
      </vt:variant>
      <vt:variant>
        <vt:i4>4784218</vt:i4>
      </vt:variant>
      <vt:variant>
        <vt:i4>135</vt:i4>
      </vt:variant>
      <vt:variant>
        <vt:i4>0</vt:i4>
      </vt:variant>
      <vt:variant>
        <vt:i4>5</vt:i4>
      </vt:variant>
      <vt:variant>
        <vt:lpwstr>https://pmc.ncbi.nlm.nih.gov/articles/PMC9189734/figure/F2/</vt:lpwstr>
      </vt:variant>
      <vt:variant>
        <vt:lpwstr>r89</vt:lpwstr>
      </vt:variant>
      <vt:variant>
        <vt:i4>4784218</vt:i4>
      </vt:variant>
      <vt:variant>
        <vt:i4>132</vt:i4>
      </vt:variant>
      <vt:variant>
        <vt:i4>0</vt:i4>
      </vt:variant>
      <vt:variant>
        <vt:i4>5</vt:i4>
      </vt:variant>
      <vt:variant>
        <vt:lpwstr>https://pmc.ncbi.nlm.nih.gov/articles/PMC9189734/figure/F2/</vt:lpwstr>
      </vt:variant>
      <vt:variant>
        <vt:lpwstr>r88</vt:lpwstr>
      </vt:variant>
      <vt:variant>
        <vt:i4>4390990</vt:i4>
      </vt:variant>
      <vt:variant>
        <vt:i4>129</vt:i4>
      </vt:variant>
      <vt:variant>
        <vt:i4>0</vt:i4>
      </vt:variant>
      <vt:variant>
        <vt:i4>5</vt:i4>
      </vt:variant>
      <vt:variant>
        <vt:lpwstr>https://pmc.ncbi.nlm.nih.gov/articles/PMC9189734/figure/F2/</vt:lpwstr>
      </vt:variant>
      <vt:variant>
        <vt:lpwstr>F2</vt:lpwstr>
      </vt:variant>
      <vt:variant>
        <vt:i4>4784218</vt:i4>
      </vt:variant>
      <vt:variant>
        <vt:i4>126</vt:i4>
      </vt:variant>
      <vt:variant>
        <vt:i4>0</vt:i4>
      </vt:variant>
      <vt:variant>
        <vt:i4>5</vt:i4>
      </vt:variant>
      <vt:variant>
        <vt:lpwstr>https://pmc.ncbi.nlm.nih.gov/articles/PMC9189734/figure/F2/</vt:lpwstr>
      </vt:variant>
      <vt:variant>
        <vt:lpwstr>r88</vt:lpwstr>
      </vt:variant>
      <vt:variant>
        <vt:i4>4718682</vt:i4>
      </vt:variant>
      <vt:variant>
        <vt:i4>123</vt:i4>
      </vt:variant>
      <vt:variant>
        <vt:i4>0</vt:i4>
      </vt:variant>
      <vt:variant>
        <vt:i4>5</vt:i4>
      </vt:variant>
      <vt:variant>
        <vt:lpwstr>https://pmc.ncbi.nlm.nih.gov/articles/PMC9189734/figure/F2/</vt:lpwstr>
      </vt:variant>
      <vt:variant>
        <vt:lpwstr>r91</vt:lpwstr>
      </vt:variant>
      <vt:variant>
        <vt:i4>4718682</vt:i4>
      </vt:variant>
      <vt:variant>
        <vt:i4>120</vt:i4>
      </vt:variant>
      <vt:variant>
        <vt:i4>0</vt:i4>
      </vt:variant>
      <vt:variant>
        <vt:i4>5</vt:i4>
      </vt:variant>
      <vt:variant>
        <vt:lpwstr>https://pmc.ncbi.nlm.nih.gov/articles/PMC9189734/figure/F2/</vt:lpwstr>
      </vt:variant>
      <vt:variant>
        <vt:lpwstr>r91</vt:lpwstr>
      </vt:variant>
      <vt:variant>
        <vt:i4>4784218</vt:i4>
      </vt:variant>
      <vt:variant>
        <vt:i4>117</vt:i4>
      </vt:variant>
      <vt:variant>
        <vt:i4>0</vt:i4>
      </vt:variant>
      <vt:variant>
        <vt:i4>5</vt:i4>
      </vt:variant>
      <vt:variant>
        <vt:lpwstr>https://pmc.ncbi.nlm.nih.gov/articles/PMC9189734/figure/F2/</vt:lpwstr>
      </vt:variant>
      <vt:variant>
        <vt:lpwstr>r86</vt:lpwstr>
      </vt:variant>
      <vt:variant>
        <vt:i4>4194382</vt:i4>
      </vt:variant>
      <vt:variant>
        <vt:i4>114</vt:i4>
      </vt:variant>
      <vt:variant>
        <vt:i4>0</vt:i4>
      </vt:variant>
      <vt:variant>
        <vt:i4>5</vt:i4>
      </vt:variant>
      <vt:variant>
        <vt:lpwstr>https://pmc.ncbi.nlm.nih.gov/articles/PMC9189734/figure/F2/</vt:lpwstr>
      </vt:variant>
      <vt:variant>
        <vt:lpwstr>F1</vt:lpwstr>
      </vt:variant>
      <vt:variant>
        <vt:i4>4063334</vt:i4>
      </vt:variant>
      <vt:variant>
        <vt:i4>111</vt:i4>
      </vt:variant>
      <vt:variant>
        <vt:i4>0</vt:i4>
      </vt:variant>
      <vt:variant>
        <vt:i4>5</vt:i4>
      </vt:variant>
      <vt:variant>
        <vt:lpwstr>https://onlinelibrary.wiley.com/doi/10.1111/jcmm.12088</vt:lpwstr>
      </vt:variant>
      <vt:variant>
        <vt:lpwstr/>
      </vt:variant>
      <vt:variant>
        <vt:i4>7405695</vt:i4>
      </vt:variant>
      <vt:variant>
        <vt:i4>108</vt:i4>
      </vt:variant>
      <vt:variant>
        <vt:i4>0</vt:i4>
      </vt:variant>
      <vt:variant>
        <vt:i4>5</vt:i4>
      </vt:variant>
      <vt:variant>
        <vt:lpwstr>https://www.pollinis.org/publications/2-experts-temoignent-des-failles-de-levaluation-des-risques-des-pesticides-sdhi/</vt:lpwstr>
      </vt:variant>
      <vt:variant>
        <vt:lpwstr/>
      </vt:variant>
      <vt:variant>
        <vt:i4>6488124</vt:i4>
      </vt:variant>
      <vt:variant>
        <vt:i4>105</vt:i4>
      </vt:variant>
      <vt:variant>
        <vt:i4>0</vt:i4>
      </vt:variant>
      <vt:variant>
        <vt:i4>5</vt:i4>
      </vt:variant>
      <vt:variant>
        <vt:lpwstr>https://www.asef-asso.fr/attachments/article/1846/Fiche Pratique - reglementation - Antennes Relais.pdf</vt:lpwstr>
      </vt:variant>
      <vt:variant>
        <vt:lpwstr/>
      </vt:variant>
      <vt:variant>
        <vt:i4>3604535</vt:i4>
      </vt:variant>
      <vt:variant>
        <vt:i4>102</vt:i4>
      </vt:variant>
      <vt:variant>
        <vt:i4>0</vt:i4>
      </vt:variant>
      <vt:variant>
        <vt:i4>5</vt:i4>
      </vt:variant>
      <vt:variant>
        <vt:lpwstr>https://www.anses.fr/fr/content/consultation-publique-anses-radiofrequences-cancer</vt:lpwstr>
      </vt:variant>
      <vt:variant>
        <vt:lpwstr/>
      </vt:variant>
      <vt:variant>
        <vt:i4>4128807</vt:i4>
      </vt:variant>
      <vt:variant>
        <vt:i4>99</vt:i4>
      </vt:variant>
      <vt:variant>
        <vt:i4>0</vt:i4>
      </vt:variant>
      <vt:variant>
        <vt:i4>5</vt:i4>
      </vt:variant>
      <vt:variant>
        <vt:lpwstr>https://www.radiofrequences.gouv.fr/que-sont-les-ondes-radiofrequences-a1.html</vt:lpwstr>
      </vt:variant>
      <vt:variant>
        <vt:lpwstr/>
      </vt:variant>
      <vt:variant>
        <vt:i4>3211360</vt:i4>
      </vt:variant>
      <vt:variant>
        <vt:i4>96</vt:i4>
      </vt:variant>
      <vt:variant>
        <vt:i4>0</vt:i4>
      </vt:variant>
      <vt:variant>
        <vt:i4>5</vt:i4>
      </vt:variant>
      <vt:variant>
        <vt:lpwstr>https://www.anfr.fr/fileadmin/mediatheque/documents/expace/Protocole-mesure-15-4.1.pdf</vt:lpwstr>
      </vt:variant>
      <vt:variant>
        <vt:lpwstr/>
      </vt:variant>
      <vt:variant>
        <vt:i4>4718672</vt:i4>
      </vt:variant>
      <vt:variant>
        <vt:i4>93</vt:i4>
      </vt:variant>
      <vt:variant>
        <vt:i4>0</vt:i4>
      </vt:variant>
      <vt:variant>
        <vt:i4>5</vt:i4>
      </vt:variant>
      <vt:variant>
        <vt:lpwstr>https://www.mdpi.com/1422-0067/22/7/3772</vt:lpwstr>
      </vt:variant>
      <vt:variant>
        <vt:lpwstr>B3-ijms-22-03772</vt:lpwstr>
      </vt:variant>
      <vt:variant>
        <vt:i4>4849744</vt:i4>
      </vt:variant>
      <vt:variant>
        <vt:i4>90</vt:i4>
      </vt:variant>
      <vt:variant>
        <vt:i4>0</vt:i4>
      </vt:variant>
      <vt:variant>
        <vt:i4>5</vt:i4>
      </vt:variant>
      <vt:variant>
        <vt:lpwstr>https://www.mdpi.com/1422-0067/22/7/3772</vt:lpwstr>
      </vt:variant>
      <vt:variant>
        <vt:lpwstr>B1-ijms-22-03772</vt:lpwstr>
      </vt:variant>
      <vt:variant>
        <vt:i4>1572952</vt:i4>
      </vt:variant>
      <vt:variant>
        <vt:i4>87</vt:i4>
      </vt:variant>
      <vt:variant>
        <vt:i4>0</vt:i4>
      </vt:variant>
      <vt:variant>
        <vt:i4>5</vt:i4>
      </vt:variant>
      <vt:variant>
        <vt:lpwstr>https://www.ipubli.inserm.fr/bitstream/handle/10608/102/?sequence=79</vt:lpwstr>
      </vt:variant>
      <vt:variant>
        <vt:lpwstr/>
      </vt:variant>
      <vt:variant>
        <vt:i4>1769513</vt:i4>
      </vt:variant>
      <vt:variant>
        <vt:i4>84</vt:i4>
      </vt:variant>
      <vt:variant>
        <vt:i4>0</vt:i4>
      </vt:variant>
      <vt:variant>
        <vt:i4>5</vt:i4>
      </vt:variant>
      <vt:variant>
        <vt:lpwstr>https://www.youtube.com/watch?v=MRll6_do5jI</vt:lpwstr>
      </vt:variant>
      <vt:variant>
        <vt:lpwstr/>
      </vt:variant>
      <vt:variant>
        <vt:i4>8192099</vt:i4>
      </vt:variant>
      <vt:variant>
        <vt:i4>81</vt:i4>
      </vt:variant>
      <vt:variant>
        <vt:i4>0</vt:i4>
      </vt:variant>
      <vt:variant>
        <vt:i4>5</vt:i4>
      </vt:variant>
      <vt:variant>
        <vt:lpwstr>https://www.mdpi.com/1422-0067/22/7/3772</vt:lpwstr>
      </vt:variant>
      <vt:variant>
        <vt:lpwstr>B137-ijms-22-03772</vt:lpwstr>
      </vt:variant>
      <vt:variant>
        <vt:i4>7864416</vt:i4>
      </vt:variant>
      <vt:variant>
        <vt:i4>78</vt:i4>
      </vt:variant>
      <vt:variant>
        <vt:i4>0</vt:i4>
      </vt:variant>
      <vt:variant>
        <vt:i4>5</vt:i4>
      </vt:variant>
      <vt:variant>
        <vt:lpwstr>https://www.mdpi.com/1422-0067/22/7/3772</vt:lpwstr>
      </vt:variant>
      <vt:variant>
        <vt:lpwstr>B102-ijms-22-03772</vt:lpwstr>
      </vt:variant>
      <vt:variant>
        <vt:i4>4391002</vt:i4>
      </vt:variant>
      <vt:variant>
        <vt:i4>75</vt:i4>
      </vt:variant>
      <vt:variant>
        <vt:i4>0</vt:i4>
      </vt:variant>
      <vt:variant>
        <vt:i4>5</vt:i4>
      </vt:variant>
      <vt:variant>
        <vt:lpwstr>https://www.mdpi.com/1422-0067/22/7/3772</vt:lpwstr>
      </vt:variant>
      <vt:variant>
        <vt:lpwstr>B99-ijms-22-03772</vt:lpwstr>
      </vt:variant>
      <vt:variant>
        <vt:i4>5046354</vt:i4>
      </vt:variant>
      <vt:variant>
        <vt:i4>72</vt:i4>
      </vt:variant>
      <vt:variant>
        <vt:i4>0</vt:i4>
      </vt:variant>
      <vt:variant>
        <vt:i4>5</vt:i4>
      </vt:variant>
      <vt:variant>
        <vt:lpwstr>https://www.mdpi.com/1422-0067/22/7/3772</vt:lpwstr>
      </vt:variant>
      <vt:variant>
        <vt:lpwstr>B71-ijms-22-03772</vt:lpwstr>
      </vt:variant>
      <vt:variant>
        <vt:i4>5046353</vt:i4>
      </vt:variant>
      <vt:variant>
        <vt:i4>69</vt:i4>
      </vt:variant>
      <vt:variant>
        <vt:i4>0</vt:i4>
      </vt:variant>
      <vt:variant>
        <vt:i4>5</vt:i4>
      </vt:variant>
      <vt:variant>
        <vt:lpwstr>https://www.mdpi.com/1422-0067/22/7/3772</vt:lpwstr>
      </vt:variant>
      <vt:variant>
        <vt:lpwstr>B72-ijms-22-03772</vt:lpwstr>
      </vt:variant>
      <vt:variant>
        <vt:i4>4718672</vt:i4>
      </vt:variant>
      <vt:variant>
        <vt:i4>66</vt:i4>
      </vt:variant>
      <vt:variant>
        <vt:i4>0</vt:i4>
      </vt:variant>
      <vt:variant>
        <vt:i4>5</vt:i4>
      </vt:variant>
      <vt:variant>
        <vt:lpwstr>https://www.mdpi.com/1422-0067/22/7/3772</vt:lpwstr>
      </vt:variant>
      <vt:variant>
        <vt:lpwstr>B23-ijms-22-03772</vt:lpwstr>
      </vt:variant>
      <vt:variant>
        <vt:i4>5177424</vt:i4>
      </vt:variant>
      <vt:variant>
        <vt:i4>63</vt:i4>
      </vt:variant>
      <vt:variant>
        <vt:i4>0</vt:i4>
      </vt:variant>
      <vt:variant>
        <vt:i4>5</vt:i4>
      </vt:variant>
      <vt:variant>
        <vt:lpwstr>https://www.mdpi.com/1422-0067/22/7/3772</vt:lpwstr>
      </vt:variant>
      <vt:variant>
        <vt:lpwstr>B4-ijms-22-03772</vt:lpwstr>
      </vt:variant>
      <vt:variant>
        <vt:i4>4718672</vt:i4>
      </vt:variant>
      <vt:variant>
        <vt:i4>60</vt:i4>
      </vt:variant>
      <vt:variant>
        <vt:i4>0</vt:i4>
      </vt:variant>
      <vt:variant>
        <vt:i4>5</vt:i4>
      </vt:variant>
      <vt:variant>
        <vt:lpwstr>https://www.mdpi.com/1422-0067/22/7/3772</vt:lpwstr>
      </vt:variant>
      <vt:variant>
        <vt:lpwstr>B3-ijms-22-03772</vt:lpwstr>
      </vt:variant>
      <vt:variant>
        <vt:i4>4849744</vt:i4>
      </vt:variant>
      <vt:variant>
        <vt:i4>57</vt:i4>
      </vt:variant>
      <vt:variant>
        <vt:i4>0</vt:i4>
      </vt:variant>
      <vt:variant>
        <vt:i4>5</vt:i4>
      </vt:variant>
      <vt:variant>
        <vt:lpwstr>https://www.mdpi.com/1422-0067/22/7/3772</vt:lpwstr>
      </vt:variant>
      <vt:variant>
        <vt:lpwstr>B1-ijms-22-03772</vt:lpwstr>
      </vt:variant>
      <vt:variant>
        <vt:i4>8192096</vt:i4>
      </vt:variant>
      <vt:variant>
        <vt:i4>54</vt:i4>
      </vt:variant>
      <vt:variant>
        <vt:i4>0</vt:i4>
      </vt:variant>
      <vt:variant>
        <vt:i4>5</vt:i4>
      </vt:variant>
      <vt:variant>
        <vt:lpwstr>https://www.mdpi.com/1422-0067/22/7/3772</vt:lpwstr>
      </vt:variant>
      <vt:variant>
        <vt:lpwstr>B107-ijms-22-03772</vt:lpwstr>
      </vt:variant>
      <vt:variant>
        <vt:i4>8323168</vt:i4>
      </vt:variant>
      <vt:variant>
        <vt:i4>51</vt:i4>
      </vt:variant>
      <vt:variant>
        <vt:i4>0</vt:i4>
      </vt:variant>
      <vt:variant>
        <vt:i4>5</vt:i4>
      </vt:variant>
      <vt:variant>
        <vt:lpwstr>https://www.mdpi.com/1422-0067/22/7/3772</vt:lpwstr>
      </vt:variant>
      <vt:variant>
        <vt:lpwstr>B105-ijms-22-03772</vt:lpwstr>
      </vt:variant>
      <vt:variant>
        <vt:i4>4390993</vt:i4>
      </vt:variant>
      <vt:variant>
        <vt:i4>48</vt:i4>
      </vt:variant>
      <vt:variant>
        <vt:i4>0</vt:i4>
      </vt:variant>
      <vt:variant>
        <vt:i4>5</vt:i4>
      </vt:variant>
      <vt:variant>
        <vt:lpwstr>https://www.mdpi.com/1422-0067/22/7/3772</vt:lpwstr>
      </vt:variant>
      <vt:variant>
        <vt:lpwstr>B92-ijms-22-03772</vt:lpwstr>
      </vt:variant>
      <vt:variant>
        <vt:i4>8126560</vt:i4>
      </vt:variant>
      <vt:variant>
        <vt:i4>45</vt:i4>
      </vt:variant>
      <vt:variant>
        <vt:i4>0</vt:i4>
      </vt:variant>
      <vt:variant>
        <vt:i4>5</vt:i4>
      </vt:variant>
      <vt:variant>
        <vt:lpwstr>https://www.mdpi.com/1422-0067/22/7/3772</vt:lpwstr>
      </vt:variant>
      <vt:variant>
        <vt:lpwstr>B106-ijms-22-03772</vt:lpwstr>
      </vt:variant>
      <vt:variant>
        <vt:i4>8061024</vt:i4>
      </vt:variant>
      <vt:variant>
        <vt:i4>42</vt:i4>
      </vt:variant>
      <vt:variant>
        <vt:i4>0</vt:i4>
      </vt:variant>
      <vt:variant>
        <vt:i4>5</vt:i4>
      </vt:variant>
      <vt:variant>
        <vt:lpwstr>https://www.mdpi.com/1422-0067/22/7/3772</vt:lpwstr>
      </vt:variant>
      <vt:variant>
        <vt:lpwstr>B101-ijms-22-03772</vt:lpwstr>
      </vt:variant>
      <vt:variant>
        <vt:i4>8323168</vt:i4>
      </vt:variant>
      <vt:variant>
        <vt:i4>39</vt:i4>
      </vt:variant>
      <vt:variant>
        <vt:i4>0</vt:i4>
      </vt:variant>
      <vt:variant>
        <vt:i4>5</vt:i4>
      </vt:variant>
      <vt:variant>
        <vt:lpwstr>https://www.mdpi.com/1422-0067/22/7/3772</vt:lpwstr>
      </vt:variant>
      <vt:variant>
        <vt:lpwstr>B105-ijms-22-03772</vt:lpwstr>
      </vt:variant>
      <vt:variant>
        <vt:i4>7929952</vt:i4>
      </vt:variant>
      <vt:variant>
        <vt:i4>36</vt:i4>
      </vt:variant>
      <vt:variant>
        <vt:i4>0</vt:i4>
      </vt:variant>
      <vt:variant>
        <vt:i4>5</vt:i4>
      </vt:variant>
      <vt:variant>
        <vt:lpwstr>https://www.mdpi.com/1422-0067/22/7/3772</vt:lpwstr>
      </vt:variant>
      <vt:variant>
        <vt:lpwstr>B103-ijms-22-03772</vt:lpwstr>
      </vt:variant>
      <vt:variant>
        <vt:i4>4390999</vt:i4>
      </vt:variant>
      <vt:variant>
        <vt:i4>33</vt:i4>
      </vt:variant>
      <vt:variant>
        <vt:i4>0</vt:i4>
      </vt:variant>
      <vt:variant>
        <vt:i4>5</vt:i4>
      </vt:variant>
      <vt:variant>
        <vt:lpwstr>https://www.mdpi.com/1422-0067/22/7/3772</vt:lpwstr>
      </vt:variant>
      <vt:variant>
        <vt:lpwstr>B94-ijms-22-03772</vt:lpwstr>
      </vt:variant>
      <vt:variant>
        <vt:i4>4325460</vt:i4>
      </vt:variant>
      <vt:variant>
        <vt:i4>30</vt:i4>
      </vt:variant>
      <vt:variant>
        <vt:i4>0</vt:i4>
      </vt:variant>
      <vt:variant>
        <vt:i4>5</vt:i4>
      </vt:variant>
      <vt:variant>
        <vt:lpwstr>https://www.mdpi.com/1422-0067/22/7/3772</vt:lpwstr>
      </vt:variant>
      <vt:variant>
        <vt:lpwstr>B87-ijms-22-03772</vt:lpwstr>
      </vt:variant>
      <vt:variant>
        <vt:i4>5046357</vt:i4>
      </vt:variant>
      <vt:variant>
        <vt:i4>27</vt:i4>
      </vt:variant>
      <vt:variant>
        <vt:i4>0</vt:i4>
      </vt:variant>
      <vt:variant>
        <vt:i4>5</vt:i4>
      </vt:variant>
      <vt:variant>
        <vt:lpwstr>https://www.mdpi.com/1422-0067/22/7/3772</vt:lpwstr>
      </vt:variant>
      <vt:variant>
        <vt:lpwstr>B76-ijms-22-03772</vt:lpwstr>
      </vt:variant>
      <vt:variant>
        <vt:i4>4325461</vt:i4>
      </vt:variant>
      <vt:variant>
        <vt:i4>24</vt:i4>
      </vt:variant>
      <vt:variant>
        <vt:i4>0</vt:i4>
      </vt:variant>
      <vt:variant>
        <vt:i4>5</vt:i4>
      </vt:variant>
      <vt:variant>
        <vt:lpwstr>https://www.mdpi.com/1422-0067/22/7/3772</vt:lpwstr>
      </vt:variant>
      <vt:variant>
        <vt:lpwstr>B86-ijms-22-03772</vt:lpwstr>
      </vt:variant>
      <vt:variant>
        <vt:i4>2228285</vt:i4>
      </vt:variant>
      <vt:variant>
        <vt:i4>21</vt:i4>
      </vt:variant>
      <vt:variant>
        <vt:i4>0</vt:i4>
      </vt:variant>
      <vt:variant>
        <vt:i4>5</vt:i4>
      </vt:variant>
      <vt:variant>
        <vt:lpwstr>https://www.anses.fr/fr/system/files/CHIM2009sa0331Ra-0.pdf</vt:lpwstr>
      </vt:variant>
      <vt:variant>
        <vt:lpwstr/>
      </vt:variant>
      <vt:variant>
        <vt:i4>5570589</vt:i4>
      </vt:variant>
      <vt:variant>
        <vt:i4>18</vt:i4>
      </vt:variant>
      <vt:variant>
        <vt:i4>0</vt:i4>
      </vt:variant>
      <vt:variant>
        <vt:i4>5</vt:i4>
      </vt:variant>
      <vt:variant>
        <vt:lpwstr>https://www.mdpi.com/1422-0067/22/7/3772</vt:lpwstr>
      </vt:variant>
      <vt:variant>
        <vt:lpwstr/>
      </vt:variant>
      <vt:variant>
        <vt:i4>4128873</vt:i4>
      </vt:variant>
      <vt:variant>
        <vt:i4>15</vt:i4>
      </vt:variant>
      <vt:variant>
        <vt:i4>0</vt:i4>
      </vt:variant>
      <vt:variant>
        <vt:i4>5</vt:i4>
      </vt:variant>
      <vt:variant>
        <vt:lpwstr>http://doi.org/10.1016/j.bbamem.2015.02.013</vt:lpwstr>
      </vt:variant>
      <vt:variant>
        <vt:lpwstr/>
      </vt:variant>
      <vt:variant>
        <vt:i4>721016</vt:i4>
      </vt:variant>
      <vt:variant>
        <vt:i4>12</vt:i4>
      </vt:variant>
      <vt:variant>
        <vt:i4>0</vt:i4>
      </vt:variant>
      <vt:variant>
        <vt:i4>5</vt:i4>
      </vt:variant>
      <vt:variant>
        <vt:lpwstr>http://scholar.google.com/scholar_lookup?title=Investigation+of+the+effects+of+distance+from+sources+on+apoptosis,+oxidative+stress+and+cytosolic+calcium+accumulation+via+TRPV1+channels+induced+by+mobile+phones+and+Wi-Fi+in+breast+cancer+cells&amp;author=%C3%87i%C4%9F,+B.&amp;author=Naziro%C4%9Flu,+M.&amp;publication_year=2015&amp;journal=Biochim.+Biophys.+Acta&amp;volume=1848&amp;pages=2756%E2%80%932765&amp;doi=10.1016/j.bbamem.2015.02.013</vt:lpwstr>
      </vt:variant>
      <vt:variant>
        <vt:lpwstr/>
      </vt:variant>
      <vt:variant>
        <vt:i4>4718672</vt:i4>
      </vt:variant>
      <vt:variant>
        <vt:i4>9</vt:i4>
      </vt:variant>
      <vt:variant>
        <vt:i4>0</vt:i4>
      </vt:variant>
      <vt:variant>
        <vt:i4>5</vt:i4>
      </vt:variant>
      <vt:variant>
        <vt:lpwstr>https://www.mdpi.com/1422-0067/22/7/3772</vt:lpwstr>
      </vt:variant>
      <vt:variant>
        <vt:lpwstr>B3-ijms-22-03772</vt:lpwstr>
      </vt:variant>
      <vt:variant>
        <vt:i4>4849744</vt:i4>
      </vt:variant>
      <vt:variant>
        <vt:i4>6</vt:i4>
      </vt:variant>
      <vt:variant>
        <vt:i4>0</vt:i4>
      </vt:variant>
      <vt:variant>
        <vt:i4>5</vt:i4>
      </vt:variant>
      <vt:variant>
        <vt:lpwstr>https://www.mdpi.com/1422-0067/22/7/3772</vt:lpwstr>
      </vt:variant>
      <vt:variant>
        <vt:lpwstr>B1-ijms-22-03772</vt:lpwstr>
      </vt:variant>
      <vt:variant>
        <vt:i4>65627</vt:i4>
      </vt:variant>
      <vt:variant>
        <vt:i4>3</vt:i4>
      </vt:variant>
      <vt:variant>
        <vt:i4>0</vt:i4>
      </vt:variant>
      <vt:variant>
        <vt:i4>5</vt:i4>
      </vt:variant>
      <vt:variant>
        <vt:lpwstr>https://doi.org/10.3390/ijms22073772</vt:lpwstr>
      </vt:variant>
      <vt:variant>
        <vt:lpwstr/>
      </vt:variant>
      <vt:variant>
        <vt:i4>983042</vt:i4>
      </vt:variant>
      <vt:variant>
        <vt:i4>0</vt:i4>
      </vt:variant>
      <vt:variant>
        <vt:i4>0</vt:i4>
      </vt:variant>
      <vt:variant>
        <vt:i4>5</vt:i4>
      </vt:variant>
      <vt:variant>
        <vt:lpwstr>https://pubmed.ncbi.nlm.nih.gov/34617575/</vt:lpwstr>
      </vt:variant>
      <vt:variant>
        <vt:lpwstr/>
      </vt:variant>
      <vt:variant>
        <vt:i4>5373952</vt:i4>
      </vt:variant>
      <vt:variant>
        <vt:i4>105</vt:i4>
      </vt:variant>
      <vt:variant>
        <vt:i4>0</vt:i4>
      </vt:variant>
      <vt:variant>
        <vt:i4>5</vt:i4>
      </vt:variant>
      <vt:variant>
        <vt:lpwstr>https://fr.wikipedia.org/wiki/A%C3%A9ronomie</vt:lpwstr>
      </vt:variant>
      <vt:variant>
        <vt:lpwstr/>
      </vt:variant>
      <vt:variant>
        <vt:i4>4128887</vt:i4>
      </vt:variant>
      <vt:variant>
        <vt:i4>102</vt:i4>
      </vt:variant>
      <vt:variant>
        <vt:i4>0</vt:i4>
      </vt:variant>
      <vt:variant>
        <vt:i4>5</vt:i4>
      </vt:variant>
      <vt:variant>
        <vt:lpwstr>https://www.aquaportail.com/dictionnaire/definition/4884/facteurs-edaphiques</vt:lpwstr>
      </vt:variant>
      <vt:variant>
        <vt:lpwstr>:~:text=Un%20facteur%20%C3%A9daphique%20regroupe%20les%20propri%C3%A9t%C3%A9s%20chimiques%2C%20physiques,qui%20l%27habitent.%20Les%20facteurs%20%C3%A9daphiques%20d%C3%A9terminent%20un%20biotope.</vt:lpwstr>
      </vt:variant>
      <vt:variant>
        <vt:i4>3604535</vt:i4>
      </vt:variant>
      <vt:variant>
        <vt:i4>99</vt:i4>
      </vt:variant>
      <vt:variant>
        <vt:i4>0</vt:i4>
      </vt:variant>
      <vt:variant>
        <vt:i4>5</vt:i4>
      </vt:variant>
      <vt:variant>
        <vt:lpwstr>https://www.anses.fr/fr/content/consultation-publique-anses-radiofrequences-cancer</vt:lpwstr>
      </vt:variant>
      <vt:variant>
        <vt:lpwstr/>
      </vt:variant>
      <vt:variant>
        <vt:i4>393219</vt:i4>
      </vt:variant>
      <vt:variant>
        <vt:i4>96</vt:i4>
      </vt:variant>
      <vt:variant>
        <vt:i4>0</vt:i4>
      </vt:variant>
      <vt:variant>
        <vt:i4>5</vt:i4>
      </vt:variant>
      <vt:variant>
        <vt:lpwstr>https://pubmed.ncbi.nlm.nih.gov/35114921/</vt:lpwstr>
      </vt:variant>
      <vt:variant>
        <vt:lpwstr/>
      </vt:variant>
      <vt:variant>
        <vt:i4>4128816</vt:i4>
      </vt:variant>
      <vt:variant>
        <vt:i4>93</vt:i4>
      </vt:variant>
      <vt:variant>
        <vt:i4>0</vt:i4>
      </vt:variant>
      <vt:variant>
        <vt:i4>5</vt:i4>
      </vt:variant>
      <vt:variant>
        <vt:lpwstr>https://www.thelancet.com/journals/lanonc/article/PIIS1470-2045(11)70147-4/fulltext</vt:lpwstr>
      </vt:variant>
      <vt:variant>
        <vt:lpwstr/>
      </vt:variant>
      <vt:variant>
        <vt:i4>1310800</vt:i4>
      </vt:variant>
      <vt:variant>
        <vt:i4>90</vt:i4>
      </vt:variant>
      <vt:variant>
        <vt:i4>0</vt:i4>
      </vt:variant>
      <vt:variant>
        <vt:i4>5</vt:i4>
      </vt:variant>
      <vt:variant>
        <vt:lpwstr>https://www.ined.fr/fr/actualites/rencontres-scientifiques/les-lundis/gallicagram-un-outil-de-lexicometrie-pour-explorer-de-grands-corpus-diachroniques/</vt:lpwstr>
      </vt:variant>
      <vt:variant>
        <vt:lpwstr/>
      </vt:variant>
      <vt:variant>
        <vt:i4>2687050</vt:i4>
      </vt:variant>
      <vt:variant>
        <vt:i4>87</vt:i4>
      </vt:variant>
      <vt:variant>
        <vt:i4>0</vt:i4>
      </vt:variant>
      <vt:variant>
        <vt:i4>5</vt:i4>
      </vt:variant>
      <vt:variant>
        <vt:lpwstr>https://shiny.ens-paris-saclay.fr/app_direct/gallicagram/</vt:lpwstr>
      </vt:variant>
      <vt:variant>
        <vt:lpwstr/>
      </vt:variant>
      <vt:variant>
        <vt:i4>4128817</vt:i4>
      </vt:variant>
      <vt:variant>
        <vt:i4>84</vt:i4>
      </vt:variant>
      <vt:variant>
        <vt:i4>0</vt:i4>
      </vt:variant>
      <vt:variant>
        <vt:i4>5</vt:i4>
      </vt:variant>
      <vt:variant>
        <vt:lpwstr>https://www.domainedelabriandais.com/fr</vt:lpwstr>
      </vt:variant>
      <vt:variant>
        <vt:lpwstr/>
      </vt:variant>
      <vt:variant>
        <vt:i4>4522049</vt:i4>
      </vt:variant>
      <vt:variant>
        <vt:i4>81</vt:i4>
      </vt:variant>
      <vt:variant>
        <vt:i4>0</vt:i4>
      </vt:variant>
      <vt:variant>
        <vt:i4>5</vt:i4>
      </vt:variant>
      <vt:variant>
        <vt:lpwstr>https://www.parismatch.be/actualites/societe/2025/02/21/quest-ce-que-les-soirees-offline-ces-evenements-qui-permettent-de-lacher-son-telephone-ont-de-plus-en-plus-de-succes-HY3FH74FWBE5BK5WFQRRBQMZIA/</vt:lpwstr>
      </vt:variant>
      <vt:variant>
        <vt:lpwstr/>
      </vt:variant>
      <vt:variant>
        <vt:i4>4522060</vt:i4>
      </vt:variant>
      <vt:variant>
        <vt:i4>78</vt:i4>
      </vt:variant>
      <vt:variant>
        <vt:i4>0</vt:i4>
      </vt:variant>
      <vt:variant>
        <vt:i4>5</vt:i4>
      </vt:variant>
      <vt:variant>
        <vt:lpwstr>https://theconversation.com/smartphones-pourquoi-vos-enfants-ont-tant-de-mal-a-se-deconnecter-179966</vt:lpwstr>
      </vt:variant>
      <vt:variant>
        <vt:lpwstr/>
      </vt:variant>
      <vt:variant>
        <vt:i4>1376322</vt:i4>
      </vt:variant>
      <vt:variant>
        <vt:i4>75</vt:i4>
      </vt:variant>
      <vt:variant>
        <vt:i4>0</vt:i4>
      </vt:variant>
      <vt:variant>
        <vt:i4>5</vt:i4>
      </vt:variant>
      <vt:variant>
        <vt:lpwstr>https://www.exem.fr/le-decret-2016-1074-evaluation-du-risque-electromagnetique/</vt:lpwstr>
      </vt:variant>
      <vt:variant>
        <vt:lpwstr>:~:text=Entr%C3%A9%20en%20vigueur%20le%201er%20janvier%202017%2C%20le,cat%C3%A9gorie%20li%C3%A9e%20aux%20ondes%20et%20aux%20champs%20%C3%A9lectromagn%C3%A9tiques.</vt:lpwstr>
      </vt:variant>
      <vt:variant>
        <vt:i4>6815750</vt:i4>
      </vt:variant>
      <vt:variant>
        <vt:i4>72</vt:i4>
      </vt:variant>
      <vt:variant>
        <vt:i4>0</vt:i4>
      </vt:variant>
      <vt:variant>
        <vt:i4>5</vt:i4>
      </vt:variant>
      <vt:variant>
        <vt:lpwstr>https://www.legifrance.gouv.fr/download/pdf?id=lzXoJr2UDnLBvVYpq2zxJL0b44nCT_x74HgoJW7H6dA=</vt:lpwstr>
      </vt:variant>
      <vt:variant>
        <vt:lpwstr/>
      </vt:variant>
      <vt:variant>
        <vt:i4>5570589</vt:i4>
      </vt:variant>
      <vt:variant>
        <vt:i4>69</vt:i4>
      </vt:variant>
      <vt:variant>
        <vt:i4>0</vt:i4>
      </vt:variant>
      <vt:variant>
        <vt:i4>5</vt:i4>
      </vt:variant>
      <vt:variant>
        <vt:lpwstr>https://www.mdpi.com/1422-0067/22/7/3772</vt:lpwstr>
      </vt:variant>
      <vt:variant>
        <vt:lpwstr/>
      </vt:variant>
      <vt:variant>
        <vt:i4>2097178</vt:i4>
      </vt:variant>
      <vt:variant>
        <vt:i4>66</vt:i4>
      </vt:variant>
      <vt:variant>
        <vt:i4>0</vt:i4>
      </vt:variant>
      <vt:variant>
        <vt:i4>5</vt:i4>
      </vt:variant>
      <vt:variant>
        <vt:lpwstr>https://wikiland.org/fr/Biological_plausibility</vt:lpwstr>
      </vt:variant>
      <vt:variant>
        <vt:lpwstr/>
      </vt:variant>
      <vt:variant>
        <vt:i4>5570589</vt:i4>
      </vt:variant>
      <vt:variant>
        <vt:i4>63</vt:i4>
      </vt:variant>
      <vt:variant>
        <vt:i4>0</vt:i4>
      </vt:variant>
      <vt:variant>
        <vt:i4>5</vt:i4>
      </vt:variant>
      <vt:variant>
        <vt:lpwstr>https://www.mdpi.com/1422-0067/22/7/3772</vt:lpwstr>
      </vt:variant>
      <vt:variant>
        <vt:lpwstr/>
      </vt:variant>
      <vt:variant>
        <vt:i4>3473449</vt:i4>
      </vt:variant>
      <vt:variant>
        <vt:i4>60</vt:i4>
      </vt:variant>
      <vt:variant>
        <vt:i4>0</vt:i4>
      </vt:variant>
      <vt:variant>
        <vt:i4>5</vt:i4>
      </vt:variant>
      <vt:variant>
        <vt:lpwstr>https://www.sciencedirect.com/science/article/abs/pii/S0301008297000282</vt:lpwstr>
      </vt:variant>
      <vt:variant>
        <vt:lpwstr>:~:text=Alzheimer%27s%20disease%20involves%20a%20substantial%20loss%20of%20the,the%20forebrain.%20Other%20brain%20areas%20are%20less%20affected.</vt:lpwstr>
      </vt:variant>
      <vt:variant>
        <vt:i4>3407918</vt:i4>
      </vt:variant>
      <vt:variant>
        <vt:i4>57</vt:i4>
      </vt:variant>
      <vt:variant>
        <vt:i4>0</vt:i4>
      </vt:variant>
      <vt:variant>
        <vt:i4>5</vt:i4>
      </vt:variant>
      <vt:variant>
        <vt:lpwstr>https://www.sciencedirect.com/science/article/abs/pii/S0161813X15300097?via%3Dihub</vt:lpwstr>
      </vt:variant>
      <vt:variant>
        <vt:lpwstr/>
      </vt:variant>
      <vt:variant>
        <vt:i4>3407918</vt:i4>
      </vt:variant>
      <vt:variant>
        <vt:i4>54</vt:i4>
      </vt:variant>
      <vt:variant>
        <vt:i4>0</vt:i4>
      </vt:variant>
      <vt:variant>
        <vt:i4>5</vt:i4>
      </vt:variant>
      <vt:variant>
        <vt:lpwstr>https://www.sciencedirect.com/science/article/abs/pii/S0161813X15300097?via%3Dihub</vt:lpwstr>
      </vt:variant>
      <vt:variant>
        <vt:lpwstr/>
      </vt:variant>
      <vt:variant>
        <vt:i4>1179737</vt:i4>
      </vt:variant>
      <vt:variant>
        <vt:i4>51</vt:i4>
      </vt:variant>
      <vt:variant>
        <vt:i4>0</vt:i4>
      </vt:variant>
      <vt:variant>
        <vt:i4>5</vt:i4>
      </vt:variant>
      <vt:variant>
        <vt:lpwstr>https://fr.wikipedia.org/wiki/Crit%C3%A8res_de_Hill</vt:lpwstr>
      </vt:variant>
      <vt:variant>
        <vt:lpwstr/>
      </vt:variant>
      <vt:variant>
        <vt:i4>5570589</vt:i4>
      </vt:variant>
      <vt:variant>
        <vt:i4>48</vt:i4>
      </vt:variant>
      <vt:variant>
        <vt:i4>0</vt:i4>
      </vt:variant>
      <vt:variant>
        <vt:i4>5</vt:i4>
      </vt:variant>
      <vt:variant>
        <vt:lpwstr>https://www.mdpi.com/1422-0067/22/7/3772</vt:lpwstr>
      </vt:variant>
      <vt:variant>
        <vt:lpwstr/>
      </vt:variant>
      <vt:variant>
        <vt:i4>5570589</vt:i4>
      </vt:variant>
      <vt:variant>
        <vt:i4>45</vt:i4>
      </vt:variant>
      <vt:variant>
        <vt:i4>0</vt:i4>
      </vt:variant>
      <vt:variant>
        <vt:i4>5</vt:i4>
      </vt:variant>
      <vt:variant>
        <vt:lpwstr>https://www.mdpi.com/1422-0067/22/7/3772</vt:lpwstr>
      </vt:variant>
      <vt:variant>
        <vt:lpwstr/>
      </vt:variant>
      <vt:variant>
        <vt:i4>5570589</vt:i4>
      </vt:variant>
      <vt:variant>
        <vt:i4>42</vt:i4>
      </vt:variant>
      <vt:variant>
        <vt:i4>0</vt:i4>
      </vt:variant>
      <vt:variant>
        <vt:i4>5</vt:i4>
      </vt:variant>
      <vt:variant>
        <vt:lpwstr>https://www.mdpi.com/1422-0067/22/7/3772</vt:lpwstr>
      </vt:variant>
      <vt:variant>
        <vt:lpwstr/>
      </vt:variant>
      <vt:variant>
        <vt:i4>3407918</vt:i4>
      </vt:variant>
      <vt:variant>
        <vt:i4>39</vt:i4>
      </vt:variant>
      <vt:variant>
        <vt:i4>0</vt:i4>
      </vt:variant>
      <vt:variant>
        <vt:i4>5</vt:i4>
      </vt:variant>
      <vt:variant>
        <vt:lpwstr>https://www.sciencedirect.com/science/article/abs/pii/S0161813X15300097?via%3Dihub</vt:lpwstr>
      </vt:variant>
      <vt:variant>
        <vt:lpwstr/>
      </vt:variant>
      <vt:variant>
        <vt:i4>3014762</vt:i4>
      </vt:variant>
      <vt:variant>
        <vt:i4>36</vt:i4>
      </vt:variant>
      <vt:variant>
        <vt:i4>0</vt:i4>
      </vt:variant>
      <vt:variant>
        <vt:i4>5</vt:i4>
      </vt:variant>
      <vt:variant>
        <vt:lpwstr>https://www.sciencedirect.com/science/article/abs/pii/S001393512200648X</vt:lpwstr>
      </vt:variant>
      <vt:variant>
        <vt:lpwstr/>
      </vt:variant>
      <vt:variant>
        <vt:i4>655367</vt:i4>
      </vt:variant>
      <vt:variant>
        <vt:i4>33</vt:i4>
      </vt:variant>
      <vt:variant>
        <vt:i4>0</vt:i4>
      </vt:variant>
      <vt:variant>
        <vt:i4>5</vt:i4>
      </vt:variant>
      <vt:variant>
        <vt:lpwstr>https://pubmed.ncbi.nlm.nih.gov/35843283/</vt:lpwstr>
      </vt:variant>
      <vt:variant>
        <vt:lpwstr/>
      </vt:variant>
      <vt:variant>
        <vt:i4>0</vt:i4>
      </vt:variant>
      <vt:variant>
        <vt:i4>30</vt:i4>
      </vt:variant>
      <vt:variant>
        <vt:i4>0</vt:i4>
      </vt:variant>
      <vt:variant>
        <vt:i4>5</vt:i4>
      </vt:variant>
      <vt:variant>
        <vt:lpwstr>https://pubmed.ncbi.nlm.nih.gov/20662418/</vt:lpwstr>
      </vt:variant>
      <vt:variant>
        <vt:lpwstr/>
      </vt:variant>
      <vt:variant>
        <vt:i4>5570589</vt:i4>
      </vt:variant>
      <vt:variant>
        <vt:i4>27</vt:i4>
      </vt:variant>
      <vt:variant>
        <vt:i4>0</vt:i4>
      </vt:variant>
      <vt:variant>
        <vt:i4>5</vt:i4>
      </vt:variant>
      <vt:variant>
        <vt:lpwstr>https://www.mdpi.com/1422-0067/22/7/3772</vt:lpwstr>
      </vt:variant>
      <vt:variant>
        <vt:lpwstr/>
      </vt:variant>
      <vt:variant>
        <vt:i4>3604530</vt:i4>
      </vt:variant>
      <vt:variant>
        <vt:i4>24</vt:i4>
      </vt:variant>
      <vt:variant>
        <vt:i4>0</vt:i4>
      </vt:variant>
      <vt:variant>
        <vt:i4>5</vt:i4>
      </vt:variant>
      <vt:variant>
        <vt:lpwstr>https://www.anses.fr/fr/content/radiofrequences-cancers-consultation-publique-projet-rapport-dexpertise</vt:lpwstr>
      </vt:variant>
      <vt:variant>
        <vt:lpwstr/>
      </vt:variant>
      <vt:variant>
        <vt:i4>3801165</vt:i4>
      </vt:variant>
      <vt:variant>
        <vt:i4>21</vt:i4>
      </vt:variant>
      <vt:variant>
        <vt:i4>0</vt:i4>
      </vt:variant>
      <vt:variant>
        <vt:i4>5</vt:i4>
      </vt:variant>
      <vt:variant>
        <vt:lpwstr>https://fr.wikipedia.org/wiki/Bisph%C3%A9nol_A</vt:lpwstr>
      </vt:variant>
      <vt:variant>
        <vt:lpwstr>:~:text=Le%20bisph%C3%A9nol%20A%20est%20interdit%20%C3%A0%20compter%20du,tous%20les%20conditionnements%20alimentaires%20au%201er%20janvier%202015</vt:lpwstr>
      </vt:variant>
      <vt:variant>
        <vt:i4>2228285</vt:i4>
      </vt:variant>
      <vt:variant>
        <vt:i4>18</vt:i4>
      </vt:variant>
      <vt:variant>
        <vt:i4>0</vt:i4>
      </vt:variant>
      <vt:variant>
        <vt:i4>5</vt:i4>
      </vt:variant>
      <vt:variant>
        <vt:lpwstr>https://www.anses.fr/fr/system/files/CHIM2009sa0331Ra-0.pdf</vt:lpwstr>
      </vt:variant>
      <vt:variant>
        <vt:lpwstr/>
      </vt:variant>
      <vt:variant>
        <vt:i4>983045</vt:i4>
      </vt:variant>
      <vt:variant>
        <vt:i4>15</vt:i4>
      </vt:variant>
      <vt:variant>
        <vt:i4>0</vt:i4>
      </vt:variant>
      <vt:variant>
        <vt:i4>5</vt:i4>
      </vt:variant>
      <vt:variant>
        <vt:lpwstr>https://pubmed.ncbi.nlm.nih.gov/25325361/</vt:lpwstr>
      </vt:variant>
      <vt:variant>
        <vt:lpwstr/>
      </vt:variant>
      <vt:variant>
        <vt:i4>786434</vt:i4>
      </vt:variant>
      <vt:variant>
        <vt:i4>12</vt:i4>
      </vt:variant>
      <vt:variant>
        <vt:i4>0</vt:i4>
      </vt:variant>
      <vt:variant>
        <vt:i4>5</vt:i4>
      </vt:variant>
      <vt:variant>
        <vt:lpwstr>https://pubmed.ncbi.nlm.nih.gov/22276231/</vt:lpwstr>
      </vt:variant>
      <vt:variant>
        <vt:lpwstr/>
      </vt:variant>
      <vt:variant>
        <vt:i4>655366</vt:i4>
      </vt:variant>
      <vt:variant>
        <vt:i4>9</vt:i4>
      </vt:variant>
      <vt:variant>
        <vt:i4>0</vt:i4>
      </vt:variant>
      <vt:variant>
        <vt:i4>5</vt:i4>
      </vt:variant>
      <vt:variant>
        <vt:lpwstr>https://pubmed.ncbi.nlm.nih.gov/33226362/</vt:lpwstr>
      </vt:variant>
      <vt:variant>
        <vt:lpwstr/>
      </vt:variant>
      <vt:variant>
        <vt:i4>3604535</vt:i4>
      </vt:variant>
      <vt:variant>
        <vt:i4>6</vt:i4>
      </vt:variant>
      <vt:variant>
        <vt:i4>0</vt:i4>
      </vt:variant>
      <vt:variant>
        <vt:i4>5</vt:i4>
      </vt:variant>
      <vt:variant>
        <vt:lpwstr>https://www.anses.fr/fr/content/consultation-publique-anses-radiofrequences-cancer</vt:lpwstr>
      </vt:variant>
      <vt:variant>
        <vt:lpwstr/>
      </vt:variant>
      <vt:variant>
        <vt:i4>6684778</vt:i4>
      </vt:variant>
      <vt:variant>
        <vt:i4>3</vt:i4>
      </vt:variant>
      <vt:variant>
        <vt:i4>0</vt:i4>
      </vt:variant>
      <vt:variant>
        <vt:i4>5</vt:i4>
      </vt:variant>
      <vt:variant>
        <vt:lpwstr>https://www.univ-smb.fr/bu/ressources-en-ligne/pubmed/</vt:lpwstr>
      </vt:variant>
      <vt:variant>
        <vt:lpwstr>:~:text=Contenu%20%3A%20PubMed%2C%20d%C3%A9velopp%C3%A9%20depuis%201988%20par%20le,millions%20de%20notices%2C%20dont%20l%E2%80%99ant%C3%A9riorit%C3%A9%20remonte%20%C3%A0%201946.</vt:lpwstr>
      </vt:variant>
      <vt:variant>
        <vt:i4>6029381</vt:i4>
      </vt:variant>
      <vt:variant>
        <vt:i4>0</vt:i4>
      </vt:variant>
      <vt:variant>
        <vt:i4>0</vt:i4>
      </vt:variant>
      <vt:variant>
        <vt:i4>5</vt:i4>
      </vt:variant>
      <vt:variant>
        <vt:lpwstr>https://wikiland.org/fr/Proceedings_of_the_Royal_Society_of_Medicine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4</cp:revision>
  <dcterms:created xsi:type="dcterms:W3CDTF">2025-05-23T12:38:00Z</dcterms:created>
  <dcterms:modified xsi:type="dcterms:W3CDTF">2025-05-26T17:18:00Z</dcterms:modified>
</cp:coreProperties>
</file>